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5E8FA" w14:textId="77777777" w:rsidR="00050759" w:rsidRDefault="0064082D">
      <w:pPr>
        <w:widowControl/>
        <w:spacing w:line="240" w:lineRule="atLeast"/>
        <w:jc w:val="left"/>
        <w:rPr>
          <w:rFonts w:ascii="Times New Roman" w:eastAsia="微软雅黑" w:hAnsi="Times New Roman"/>
          <w:b/>
          <w:sz w:val="24"/>
        </w:rPr>
      </w:pPr>
      <w:r>
        <w:rPr>
          <w:rFonts w:ascii="Times New Roman" w:eastAsia="微软雅黑" w:hAnsi="Times New Roman" w:hint="eastAsia"/>
          <w:b/>
          <w:sz w:val="24"/>
        </w:rPr>
        <w:t>附件：课程教学大纲及质量标准（示例）</w:t>
      </w:r>
    </w:p>
    <w:p w14:paraId="1037A51A" w14:textId="77777777" w:rsidR="00050759" w:rsidRDefault="0064082D">
      <w:pPr>
        <w:jc w:val="center"/>
        <w:rPr>
          <w:rFonts w:ascii="黑体" w:eastAsia="黑体" w:hAnsi="黑体"/>
          <w:sz w:val="32"/>
          <w:szCs w:val="32"/>
        </w:rPr>
      </w:pPr>
      <w:r>
        <w:rPr>
          <w:rFonts w:ascii="黑体" w:eastAsia="黑体" w:hAnsi="黑体"/>
          <w:sz w:val="32"/>
          <w:szCs w:val="32"/>
        </w:rPr>
        <w:t>《行车组织》</w:t>
      </w:r>
    </w:p>
    <w:p w14:paraId="41C58799" w14:textId="77777777" w:rsidR="00050759" w:rsidRDefault="0064082D">
      <w:pPr>
        <w:jc w:val="center"/>
        <w:rPr>
          <w:rFonts w:ascii="黑体" w:eastAsia="黑体" w:hAnsi="黑体"/>
          <w:sz w:val="32"/>
          <w:szCs w:val="32"/>
        </w:rPr>
      </w:pPr>
      <w:r>
        <w:rPr>
          <w:rFonts w:ascii="黑体" w:eastAsia="黑体" w:hAnsi="黑体"/>
          <w:sz w:val="32"/>
          <w:szCs w:val="32"/>
        </w:rPr>
        <w:t>课程</w:t>
      </w:r>
      <w:r>
        <w:rPr>
          <w:rFonts w:ascii="黑体" w:eastAsia="黑体" w:hAnsi="黑体" w:hint="eastAsia"/>
          <w:sz w:val="32"/>
          <w:szCs w:val="32"/>
        </w:rPr>
        <w:t>教学大纲及</w:t>
      </w:r>
      <w:r>
        <w:rPr>
          <w:rFonts w:ascii="黑体" w:eastAsia="黑体" w:hAnsi="黑体"/>
          <w:sz w:val="32"/>
          <w:szCs w:val="32"/>
        </w:rPr>
        <w:t>质量标准</w:t>
      </w:r>
    </w:p>
    <w:p w14:paraId="51EFD86A" w14:textId="77777777" w:rsidR="00050759" w:rsidRDefault="0064082D">
      <w:pPr>
        <w:pStyle w:val="1"/>
        <w:spacing w:beforeLines="75" w:before="234" w:afterLines="25" w:after="78"/>
        <w:rPr>
          <w:rFonts w:ascii="Times New Roman" w:hAnsi="Times New Roman" w:cs="Times New Roman"/>
          <w:szCs w:val="24"/>
        </w:rPr>
      </w:pPr>
      <w:r>
        <w:rPr>
          <w:rFonts w:ascii="Times New Roman" w:hAnsi="Times New Roman" w:cs="Times New Roman" w:hint="eastAsia"/>
          <w:szCs w:val="24"/>
        </w:rPr>
        <w:t>一、课程基本信息</w:t>
      </w:r>
    </w:p>
    <w:tbl>
      <w:tblPr>
        <w:tblStyle w:val="a9"/>
        <w:tblW w:w="0" w:type="auto"/>
        <w:tblLook w:val="04A0" w:firstRow="1" w:lastRow="0" w:firstColumn="1" w:lastColumn="0" w:noHBand="0" w:noVBand="1"/>
      </w:tblPr>
      <w:tblGrid>
        <w:gridCol w:w="1129"/>
        <w:gridCol w:w="1462"/>
        <w:gridCol w:w="806"/>
        <w:gridCol w:w="1276"/>
        <w:gridCol w:w="2126"/>
        <w:gridCol w:w="1503"/>
      </w:tblGrid>
      <w:tr w:rsidR="00050759" w14:paraId="531DC801" w14:textId="77777777">
        <w:tc>
          <w:tcPr>
            <w:tcW w:w="1129" w:type="dxa"/>
            <w:vMerge w:val="restart"/>
            <w:vAlign w:val="center"/>
          </w:tcPr>
          <w:p w14:paraId="794E408F" w14:textId="77777777" w:rsidR="00050759" w:rsidRDefault="0064082D">
            <w:pPr>
              <w:jc w:val="center"/>
              <w:rPr>
                <w:rFonts w:ascii="宋体" w:eastAsia="宋体" w:hAnsi="宋体" w:cs="宋体"/>
              </w:rPr>
            </w:pPr>
            <w:r>
              <w:rPr>
                <w:rFonts w:ascii="宋体" w:eastAsia="宋体" w:hAnsi="宋体" w:cs="宋体" w:hint="eastAsia"/>
              </w:rPr>
              <w:t>课程名称</w:t>
            </w:r>
          </w:p>
        </w:tc>
        <w:tc>
          <w:tcPr>
            <w:tcW w:w="7173" w:type="dxa"/>
            <w:gridSpan w:val="5"/>
            <w:vAlign w:val="center"/>
          </w:tcPr>
          <w:p w14:paraId="4A0F96EC" w14:textId="77777777" w:rsidR="00050759" w:rsidRDefault="0064082D">
            <w:pPr>
              <w:rPr>
                <w:rFonts w:ascii="宋体" w:eastAsia="宋体" w:hAnsi="宋体" w:cs="宋体"/>
              </w:rPr>
            </w:pPr>
            <w:r>
              <w:rPr>
                <w:rFonts w:ascii="宋体" w:eastAsia="宋体" w:hAnsi="宋体" w:cs="宋体" w:hint="eastAsia"/>
              </w:rPr>
              <w:t>行车组织</w:t>
            </w:r>
          </w:p>
        </w:tc>
      </w:tr>
      <w:tr w:rsidR="00050759" w14:paraId="631AB15A" w14:textId="77777777">
        <w:tc>
          <w:tcPr>
            <w:tcW w:w="1129" w:type="dxa"/>
            <w:vMerge/>
            <w:vAlign w:val="center"/>
          </w:tcPr>
          <w:p w14:paraId="388EBA43" w14:textId="77777777" w:rsidR="00050759" w:rsidRDefault="00050759">
            <w:pPr>
              <w:jc w:val="center"/>
              <w:rPr>
                <w:rFonts w:ascii="宋体" w:eastAsia="宋体" w:hAnsi="宋体" w:cs="宋体"/>
              </w:rPr>
            </w:pPr>
          </w:p>
        </w:tc>
        <w:tc>
          <w:tcPr>
            <w:tcW w:w="7173" w:type="dxa"/>
            <w:gridSpan w:val="5"/>
            <w:vAlign w:val="center"/>
          </w:tcPr>
          <w:p w14:paraId="568C6565" w14:textId="77777777" w:rsidR="00050759" w:rsidRDefault="0064082D">
            <w:pPr>
              <w:rPr>
                <w:rFonts w:ascii="宋体" w:eastAsia="宋体" w:hAnsi="宋体" w:cs="宋体"/>
              </w:rPr>
            </w:pPr>
            <w:r>
              <w:rPr>
                <w:rFonts w:ascii="Times New Roman" w:eastAsia="STFangsong" w:hAnsi="Times New Roman" w:cs="Times New Roman" w:hint="eastAsia"/>
              </w:rPr>
              <w:t>Train Operation Organization</w:t>
            </w:r>
          </w:p>
        </w:tc>
      </w:tr>
      <w:tr w:rsidR="00050759" w14:paraId="1B50B003" w14:textId="77777777">
        <w:tc>
          <w:tcPr>
            <w:tcW w:w="1129" w:type="dxa"/>
            <w:vAlign w:val="center"/>
          </w:tcPr>
          <w:p w14:paraId="1212A57C" w14:textId="77777777" w:rsidR="00050759" w:rsidRDefault="0064082D">
            <w:pPr>
              <w:jc w:val="center"/>
              <w:rPr>
                <w:rFonts w:ascii="宋体" w:eastAsia="宋体" w:hAnsi="宋体" w:cs="宋体"/>
              </w:rPr>
            </w:pPr>
            <w:r>
              <w:rPr>
                <w:rFonts w:ascii="宋体" w:eastAsia="宋体" w:hAnsi="宋体" w:cs="宋体" w:hint="eastAsia"/>
              </w:rPr>
              <w:t>课程代码</w:t>
            </w:r>
          </w:p>
        </w:tc>
        <w:tc>
          <w:tcPr>
            <w:tcW w:w="3544" w:type="dxa"/>
            <w:gridSpan w:val="3"/>
            <w:vAlign w:val="center"/>
          </w:tcPr>
          <w:p w14:paraId="70634D14" w14:textId="77777777" w:rsidR="00050759" w:rsidRDefault="0064082D">
            <w:pPr>
              <w:rPr>
                <w:rFonts w:ascii="宋体" w:eastAsia="宋体" w:hAnsi="宋体" w:cs="宋体"/>
              </w:rPr>
            </w:pPr>
            <w:r>
              <w:rPr>
                <w:rFonts w:ascii="宋体" w:eastAsia="宋体" w:hAnsi="宋体" w:cs="宋体" w:hint="eastAsia"/>
                <w:color w:val="FF0000"/>
              </w:rPr>
              <w:t>XXXX</w:t>
            </w:r>
            <w:r>
              <w:rPr>
                <w:rFonts w:ascii="宋体" w:eastAsia="宋体" w:hAnsi="宋体" w:cs="宋体" w:hint="eastAsia"/>
                <w:color w:val="FF0000"/>
              </w:rPr>
              <w:t>（根据新培养方案修订确定）</w:t>
            </w:r>
          </w:p>
        </w:tc>
        <w:tc>
          <w:tcPr>
            <w:tcW w:w="2126" w:type="dxa"/>
            <w:vAlign w:val="center"/>
          </w:tcPr>
          <w:p w14:paraId="2C90D999" w14:textId="77777777" w:rsidR="00050759" w:rsidRDefault="0064082D">
            <w:pPr>
              <w:jc w:val="center"/>
              <w:rPr>
                <w:rFonts w:ascii="宋体" w:eastAsia="宋体" w:hAnsi="宋体" w:cs="宋体"/>
              </w:rPr>
            </w:pPr>
            <w:r>
              <w:rPr>
                <w:rFonts w:ascii="宋体" w:eastAsia="宋体" w:hAnsi="宋体" w:cs="宋体" w:hint="eastAsia"/>
              </w:rPr>
              <w:t>课程性质</w:t>
            </w:r>
          </w:p>
        </w:tc>
        <w:tc>
          <w:tcPr>
            <w:tcW w:w="1503" w:type="dxa"/>
            <w:vAlign w:val="center"/>
          </w:tcPr>
          <w:p w14:paraId="4BF89A9F" w14:textId="77777777" w:rsidR="00050759" w:rsidRDefault="0064082D">
            <w:pPr>
              <w:jc w:val="center"/>
              <w:rPr>
                <w:rFonts w:ascii="宋体" w:eastAsia="宋体" w:hAnsi="宋体" w:cs="宋体"/>
              </w:rPr>
            </w:pPr>
            <w:r>
              <w:rPr>
                <w:rFonts w:ascii="宋体" w:eastAsia="宋体" w:hAnsi="宋体" w:cs="宋体" w:hint="eastAsia"/>
              </w:rPr>
              <w:t>必修</w:t>
            </w:r>
          </w:p>
        </w:tc>
      </w:tr>
      <w:tr w:rsidR="00050759" w14:paraId="6213D75F" w14:textId="77777777">
        <w:tc>
          <w:tcPr>
            <w:tcW w:w="1129" w:type="dxa"/>
            <w:vAlign w:val="center"/>
          </w:tcPr>
          <w:p w14:paraId="017D2C4D" w14:textId="77777777" w:rsidR="00050759" w:rsidRDefault="0064082D">
            <w:pPr>
              <w:jc w:val="center"/>
              <w:rPr>
                <w:rFonts w:ascii="宋体" w:eastAsia="宋体" w:hAnsi="宋体" w:cs="宋体"/>
              </w:rPr>
            </w:pPr>
            <w:r>
              <w:rPr>
                <w:rFonts w:ascii="宋体" w:eastAsia="宋体" w:hAnsi="宋体" w:cs="宋体" w:hint="eastAsia"/>
              </w:rPr>
              <w:t>开课单位</w:t>
            </w:r>
          </w:p>
        </w:tc>
        <w:tc>
          <w:tcPr>
            <w:tcW w:w="3544" w:type="dxa"/>
            <w:gridSpan w:val="3"/>
            <w:vAlign w:val="center"/>
          </w:tcPr>
          <w:p w14:paraId="3A1924D8" w14:textId="77777777" w:rsidR="00050759" w:rsidRDefault="0064082D">
            <w:pPr>
              <w:rPr>
                <w:rFonts w:ascii="宋体" w:eastAsia="宋体" w:hAnsi="宋体" w:cs="宋体"/>
              </w:rPr>
            </w:pPr>
            <w:r>
              <w:rPr>
                <w:rFonts w:ascii="宋体" w:eastAsia="宋体" w:hAnsi="宋体" w:cs="宋体" w:hint="eastAsia"/>
              </w:rPr>
              <w:t>交通运输与物流学院</w:t>
            </w:r>
          </w:p>
        </w:tc>
        <w:tc>
          <w:tcPr>
            <w:tcW w:w="2126" w:type="dxa"/>
            <w:vAlign w:val="center"/>
          </w:tcPr>
          <w:p w14:paraId="71A74603" w14:textId="77777777" w:rsidR="00050759" w:rsidRDefault="0064082D">
            <w:pPr>
              <w:jc w:val="center"/>
              <w:rPr>
                <w:rFonts w:ascii="宋体" w:eastAsia="宋体" w:hAnsi="宋体" w:cs="宋体"/>
              </w:rPr>
            </w:pPr>
            <w:r>
              <w:rPr>
                <w:rFonts w:ascii="宋体" w:eastAsia="宋体" w:hAnsi="宋体" w:cs="宋体" w:hint="eastAsia"/>
              </w:rPr>
              <w:t>课程类型</w:t>
            </w:r>
          </w:p>
        </w:tc>
        <w:tc>
          <w:tcPr>
            <w:tcW w:w="1503" w:type="dxa"/>
            <w:vAlign w:val="center"/>
          </w:tcPr>
          <w:p w14:paraId="3935DAB3" w14:textId="77777777" w:rsidR="00050759" w:rsidRDefault="0064082D">
            <w:pPr>
              <w:jc w:val="center"/>
              <w:rPr>
                <w:rFonts w:ascii="宋体" w:eastAsia="宋体" w:hAnsi="宋体" w:cs="宋体"/>
              </w:rPr>
            </w:pPr>
            <w:r>
              <w:rPr>
                <w:rFonts w:ascii="宋体" w:eastAsia="宋体" w:hAnsi="宋体" w:cs="宋体" w:hint="eastAsia"/>
              </w:rPr>
              <w:t>专业课</w:t>
            </w:r>
          </w:p>
        </w:tc>
      </w:tr>
      <w:tr w:rsidR="00050759" w14:paraId="525E2DE2" w14:textId="77777777">
        <w:tc>
          <w:tcPr>
            <w:tcW w:w="1129" w:type="dxa"/>
            <w:vAlign w:val="center"/>
          </w:tcPr>
          <w:p w14:paraId="2E3A4941" w14:textId="77777777" w:rsidR="00050759" w:rsidRDefault="0064082D">
            <w:pPr>
              <w:jc w:val="center"/>
              <w:rPr>
                <w:rFonts w:ascii="宋体" w:eastAsia="宋体" w:hAnsi="宋体" w:cs="宋体"/>
              </w:rPr>
            </w:pPr>
            <w:r>
              <w:rPr>
                <w:rFonts w:ascii="宋体" w:eastAsia="宋体" w:hAnsi="宋体" w:cs="宋体" w:hint="eastAsia"/>
              </w:rPr>
              <w:t>授课学期</w:t>
            </w:r>
          </w:p>
        </w:tc>
        <w:tc>
          <w:tcPr>
            <w:tcW w:w="3544" w:type="dxa"/>
            <w:gridSpan w:val="3"/>
            <w:vAlign w:val="center"/>
          </w:tcPr>
          <w:p w14:paraId="0D19121E" w14:textId="77777777" w:rsidR="00050759" w:rsidRDefault="0064082D">
            <w:pPr>
              <w:rPr>
                <w:rFonts w:ascii="宋体" w:eastAsia="宋体" w:hAnsi="宋体" w:cs="宋体"/>
              </w:rPr>
            </w:pPr>
            <w:r>
              <w:rPr>
                <w:rFonts w:ascii="宋体" w:eastAsia="宋体" w:hAnsi="宋体" w:cs="宋体" w:hint="eastAsia"/>
              </w:rPr>
              <w:t>第</w:t>
            </w:r>
            <w:r>
              <w:rPr>
                <w:rFonts w:ascii="Times New Roman" w:eastAsia="STFangsong" w:hAnsi="Times New Roman" w:cs="Times New Roman" w:hint="eastAsia"/>
              </w:rPr>
              <w:t>6</w:t>
            </w:r>
            <w:r>
              <w:rPr>
                <w:rFonts w:ascii="宋体" w:eastAsia="宋体" w:hAnsi="宋体" w:cs="宋体" w:hint="eastAsia"/>
              </w:rPr>
              <w:t>学期</w:t>
            </w:r>
          </w:p>
        </w:tc>
        <w:tc>
          <w:tcPr>
            <w:tcW w:w="2126" w:type="dxa"/>
            <w:vAlign w:val="center"/>
          </w:tcPr>
          <w:p w14:paraId="15D8B1AA" w14:textId="77777777" w:rsidR="00050759" w:rsidRDefault="0064082D">
            <w:pPr>
              <w:jc w:val="center"/>
              <w:rPr>
                <w:rFonts w:ascii="宋体" w:eastAsia="宋体" w:hAnsi="宋体" w:cs="宋体"/>
              </w:rPr>
            </w:pPr>
            <w:r>
              <w:rPr>
                <w:rFonts w:ascii="宋体" w:eastAsia="宋体" w:hAnsi="宋体" w:cs="宋体" w:hint="eastAsia"/>
              </w:rPr>
              <w:t>总学分</w:t>
            </w:r>
            <w:r>
              <w:rPr>
                <w:rFonts w:ascii="宋体" w:eastAsia="宋体" w:hAnsi="宋体" w:cs="宋体" w:hint="eastAsia"/>
              </w:rPr>
              <w:t>/</w:t>
            </w:r>
            <w:r>
              <w:rPr>
                <w:rFonts w:ascii="宋体" w:eastAsia="宋体" w:hAnsi="宋体" w:cs="宋体" w:hint="eastAsia"/>
              </w:rPr>
              <w:t>总学时</w:t>
            </w:r>
          </w:p>
        </w:tc>
        <w:tc>
          <w:tcPr>
            <w:tcW w:w="1503" w:type="dxa"/>
            <w:vAlign w:val="center"/>
          </w:tcPr>
          <w:p w14:paraId="3524730B" w14:textId="77777777" w:rsidR="00050759" w:rsidRDefault="0064082D">
            <w:pPr>
              <w:jc w:val="center"/>
              <w:rPr>
                <w:rFonts w:ascii="宋体" w:eastAsia="宋体" w:hAnsi="宋体" w:cs="宋体"/>
              </w:rPr>
            </w:pPr>
            <w:r>
              <w:rPr>
                <w:rFonts w:ascii="宋体" w:eastAsia="宋体" w:hAnsi="宋体" w:cs="宋体" w:hint="eastAsia"/>
              </w:rPr>
              <w:t>4/64</w:t>
            </w:r>
          </w:p>
        </w:tc>
      </w:tr>
      <w:tr w:rsidR="00050759" w14:paraId="5FA13D22" w14:textId="77777777">
        <w:tc>
          <w:tcPr>
            <w:tcW w:w="1129" w:type="dxa"/>
            <w:vMerge w:val="restart"/>
            <w:vAlign w:val="center"/>
          </w:tcPr>
          <w:p w14:paraId="02131C7C" w14:textId="77777777" w:rsidR="00050759" w:rsidRDefault="0064082D">
            <w:pPr>
              <w:jc w:val="center"/>
              <w:rPr>
                <w:rFonts w:ascii="宋体" w:eastAsia="宋体" w:hAnsi="宋体" w:cs="宋体"/>
              </w:rPr>
            </w:pPr>
            <w:r>
              <w:rPr>
                <w:rFonts w:ascii="宋体" w:eastAsia="宋体" w:hAnsi="宋体" w:cs="宋体" w:hint="eastAsia"/>
              </w:rPr>
              <w:t>学时分配（非独立设置实验课填写）</w:t>
            </w:r>
          </w:p>
        </w:tc>
        <w:tc>
          <w:tcPr>
            <w:tcW w:w="1462" w:type="dxa"/>
            <w:vAlign w:val="center"/>
          </w:tcPr>
          <w:p w14:paraId="32386B4F" w14:textId="77777777" w:rsidR="00050759" w:rsidRDefault="0064082D">
            <w:pPr>
              <w:jc w:val="center"/>
              <w:rPr>
                <w:rFonts w:ascii="宋体" w:eastAsia="宋体" w:hAnsi="宋体" w:cs="宋体"/>
              </w:rPr>
            </w:pPr>
            <w:r>
              <w:rPr>
                <w:rFonts w:ascii="宋体" w:eastAsia="宋体" w:hAnsi="宋体" w:cs="宋体" w:hint="eastAsia"/>
              </w:rPr>
              <w:t>课内学时</w:t>
            </w:r>
          </w:p>
        </w:tc>
        <w:tc>
          <w:tcPr>
            <w:tcW w:w="806" w:type="dxa"/>
            <w:vAlign w:val="center"/>
          </w:tcPr>
          <w:p w14:paraId="39797A43" w14:textId="77777777" w:rsidR="00050759" w:rsidRDefault="0064082D">
            <w:pPr>
              <w:jc w:val="center"/>
              <w:rPr>
                <w:rFonts w:ascii="宋体" w:eastAsia="宋体" w:hAnsi="宋体" w:cs="宋体"/>
              </w:rPr>
            </w:pPr>
            <w:r>
              <w:rPr>
                <w:rFonts w:ascii="Times New Roman" w:eastAsia="STFangsong" w:hAnsi="Times New Roman" w:cs="Times New Roman" w:hint="eastAsia"/>
              </w:rPr>
              <w:t>64</w:t>
            </w:r>
          </w:p>
        </w:tc>
        <w:tc>
          <w:tcPr>
            <w:tcW w:w="1276" w:type="dxa"/>
            <w:vMerge w:val="restart"/>
            <w:vAlign w:val="center"/>
          </w:tcPr>
          <w:p w14:paraId="04542E8A" w14:textId="77777777" w:rsidR="00050759" w:rsidRDefault="0064082D">
            <w:pPr>
              <w:jc w:val="center"/>
              <w:rPr>
                <w:rFonts w:ascii="宋体" w:eastAsia="宋体" w:hAnsi="宋体" w:cs="宋体"/>
              </w:rPr>
            </w:pPr>
            <w:r>
              <w:rPr>
                <w:rFonts w:ascii="宋体" w:eastAsia="宋体" w:hAnsi="宋体" w:cs="宋体" w:hint="eastAsia"/>
              </w:rPr>
              <w:t>实验课程填写</w:t>
            </w:r>
          </w:p>
          <w:p w14:paraId="2C8A2193" w14:textId="77777777" w:rsidR="00050759" w:rsidRDefault="0064082D">
            <w:pPr>
              <w:jc w:val="center"/>
              <w:rPr>
                <w:rFonts w:ascii="宋体" w:eastAsia="宋体" w:hAnsi="宋体" w:cs="宋体"/>
              </w:rPr>
            </w:pPr>
            <w:r>
              <w:rPr>
                <w:rFonts w:ascii="宋体" w:eastAsia="宋体" w:hAnsi="宋体" w:cs="宋体" w:hint="eastAsia"/>
              </w:rPr>
              <w:t>（含课内实验）</w:t>
            </w:r>
          </w:p>
        </w:tc>
        <w:tc>
          <w:tcPr>
            <w:tcW w:w="2126" w:type="dxa"/>
            <w:vAlign w:val="center"/>
          </w:tcPr>
          <w:p w14:paraId="4A36DC25" w14:textId="77777777" w:rsidR="00050759" w:rsidRDefault="0064082D">
            <w:pPr>
              <w:jc w:val="center"/>
              <w:rPr>
                <w:rFonts w:ascii="宋体" w:eastAsia="宋体" w:hAnsi="宋体" w:cs="宋体"/>
              </w:rPr>
            </w:pPr>
            <w:r>
              <w:rPr>
                <w:rFonts w:ascii="宋体" w:eastAsia="宋体" w:hAnsi="宋体" w:cs="宋体" w:hint="eastAsia"/>
              </w:rPr>
              <w:t>实验</w:t>
            </w:r>
            <w:r>
              <w:rPr>
                <w:rFonts w:ascii="宋体" w:eastAsia="宋体" w:hAnsi="宋体" w:cs="宋体" w:hint="eastAsia"/>
              </w:rPr>
              <w:t>类别</w:t>
            </w:r>
          </w:p>
        </w:tc>
        <w:tc>
          <w:tcPr>
            <w:tcW w:w="1503" w:type="dxa"/>
            <w:vAlign w:val="center"/>
          </w:tcPr>
          <w:p w14:paraId="35A845D1" w14:textId="77777777" w:rsidR="00050759" w:rsidRDefault="0064082D">
            <w:pPr>
              <w:jc w:val="left"/>
              <w:rPr>
                <w:rFonts w:ascii="宋体" w:eastAsia="宋体" w:hAnsi="宋体" w:cs="宋体"/>
              </w:rPr>
            </w:pPr>
            <w:r>
              <w:rPr>
                <w:rFonts w:ascii="宋体" w:eastAsia="宋体" w:hAnsi="宋体" w:cs="宋体" w:hint="eastAsia"/>
              </w:rPr>
              <w:sym w:font="Wingdings 2" w:char="00A3"/>
            </w:r>
            <w:r>
              <w:rPr>
                <w:rFonts w:ascii="宋体" w:eastAsia="宋体" w:hAnsi="宋体" w:cs="宋体" w:hint="eastAsia"/>
              </w:rPr>
              <w:t>独立设课</w:t>
            </w:r>
            <w:r>
              <w:rPr>
                <w:rFonts w:ascii="宋体" w:eastAsia="宋体" w:hAnsi="宋体" w:cs="宋体" w:hint="eastAsia"/>
              </w:rPr>
              <w:t xml:space="preserve"> </w:t>
            </w:r>
          </w:p>
          <w:p w14:paraId="138B3C9E" w14:textId="77777777" w:rsidR="00050759" w:rsidRDefault="0064082D">
            <w:pPr>
              <w:jc w:val="left"/>
              <w:rPr>
                <w:rFonts w:ascii="宋体" w:eastAsia="宋体" w:hAnsi="宋体" w:cs="宋体"/>
              </w:rPr>
            </w:pPr>
            <w:r>
              <w:rPr>
                <w:rFonts w:ascii="宋体" w:eastAsia="宋体" w:hAnsi="宋体" w:cs="宋体" w:hint="eastAsia"/>
              </w:rPr>
              <w:sym w:font="Wingdings 2" w:char="00A3"/>
            </w:r>
            <w:r>
              <w:rPr>
                <w:rFonts w:ascii="宋体" w:eastAsia="宋体" w:hAnsi="宋体" w:cs="宋体" w:hint="eastAsia"/>
              </w:rPr>
              <w:t>课内实验</w:t>
            </w:r>
          </w:p>
        </w:tc>
      </w:tr>
      <w:tr w:rsidR="00050759" w14:paraId="5F4B9018" w14:textId="77777777">
        <w:tc>
          <w:tcPr>
            <w:tcW w:w="1129" w:type="dxa"/>
            <w:vMerge/>
            <w:vAlign w:val="center"/>
          </w:tcPr>
          <w:p w14:paraId="47B322FC" w14:textId="77777777" w:rsidR="00050759" w:rsidRDefault="00050759">
            <w:pPr>
              <w:jc w:val="center"/>
              <w:rPr>
                <w:rFonts w:ascii="宋体" w:eastAsia="宋体" w:hAnsi="宋体" w:cs="宋体"/>
              </w:rPr>
            </w:pPr>
          </w:p>
        </w:tc>
        <w:tc>
          <w:tcPr>
            <w:tcW w:w="1462" w:type="dxa"/>
            <w:vAlign w:val="center"/>
          </w:tcPr>
          <w:p w14:paraId="3E51EB06" w14:textId="77777777" w:rsidR="00050759" w:rsidRDefault="0064082D">
            <w:pPr>
              <w:jc w:val="center"/>
              <w:rPr>
                <w:rFonts w:ascii="Times New Roman" w:eastAsia="STFangsong" w:hAnsi="Times New Roman" w:cs="Times New Roman"/>
              </w:rPr>
            </w:pPr>
            <w:r>
              <w:rPr>
                <w:rFonts w:ascii="宋体" w:eastAsia="宋体" w:hAnsi="宋体" w:cs="宋体" w:hint="eastAsia"/>
              </w:rPr>
              <w:t>理论学时</w:t>
            </w:r>
          </w:p>
        </w:tc>
        <w:tc>
          <w:tcPr>
            <w:tcW w:w="806" w:type="dxa"/>
            <w:vAlign w:val="center"/>
          </w:tcPr>
          <w:p w14:paraId="67B217F9" w14:textId="77777777" w:rsidR="00050759" w:rsidRDefault="0064082D">
            <w:pPr>
              <w:jc w:val="center"/>
              <w:rPr>
                <w:rFonts w:ascii="宋体" w:eastAsia="宋体" w:hAnsi="宋体" w:cs="宋体"/>
              </w:rPr>
            </w:pPr>
            <w:r>
              <w:rPr>
                <w:rFonts w:ascii="Times New Roman" w:eastAsia="STFangsong" w:hAnsi="Times New Roman" w:cs="Times New Roman" w:hint="eastAsia"/>
              </w:rPr>
              <w:t>64</w:t>
            </w:r>
          </w:p>
        </w:tc>
        <w:tc>
          <w:tcPr>
            <w:tcW w:w="1276" w:type="dxa"/>
            <w:vMerge/>
            <w:vAlign w:val="center"/>
          </w:tcPr>
          <w:p w14:paraId="364EA0A5" w14:textId="77777777" w:rsidR="00050759" w:rsidRDefault="00050759">
            <w:pPr>
              <w:jc w:val="center"/>
              <w:rPr>
                <w:rFonts w:ascii="Times New Roman" w:eastAsia="STFangsong" w:hAnsi="Times New Roman" w:cs="Times New Roman"/>
              </w:rPr>
            </w:pPr>
          </w:p>
        </w:tc>
        <w:tc>
          <w:tcPr>
            <w:tcW w:w="2126" w:type="dxa"/>
            <w:vAlign w:val="center"/>
          </w:tcPr>
          <w:p w14:paraId="0175B715" w14:textId="77777777" w:rsidR="00050759" w:rsidRDefault="0064082D">
            <w:pPr>
              <w:jc w:val="center"/>
              <w:rPr>
                <w:rFonts w:ascii="宋体" w:eastAsia="宋体" w:hAnsi="宋体" w:cs="宋体"/>
              </w:rPr>
            </w:pPr>
            <w:r>
              <w:rPr>
                <w:rFonts w:ascii="宋体" w:eastAsia="宋体" w:hAnsi="宋体" w:cs="宋体" w:hint="eastAsia"/>
              </w:rPr>
              <w:t>实验学分</w:t>
            </w:r>
            <w:r>
              <w:rPr>
                <w:rFonts w:ascii="宋体" w:eastAsia="宋体" w:hAnsi="宋体" w:cs="宋体" w:hint="eastAsia"/>
              </w:rPr>
              <w:t>/</w:t>
            </w:r>
            <w:r>
              <w:rPr>
                <w:rFonts w:ascii="宋体" w:eastAsia="宋体" w:hAnsi="宋体" w:cs="宋体" w:hint="eastAsia"/>
              </w:rPr>
              <w:br/>
            </w:r>
            <w:r>
              <w:rPr>
                <w:rFonts w:ascii="宋体" w:eastAsia="宋体" w:hAnsi="宋体" w:cs="宋体" w:hint="eastAsia"/>
              </w:rPr>
              <w:t>实验学时</w:t>
            </w:r>
          </w:p>
        </w:tc>
        <w:tc>
          <w:tcPr>
            <w:tcW w:w="1503" w:type="dxa"/>
            <w:vAlign w:val="center"/>
          </w:tcPr>
          <w:p w14:paraId="1BFD4BA4" w14:textId="77777777" w:rsidR="00050759" w:rsidRDefault="00050759">
            <w:pPr>
              <w:jc w:val="center"/>
              <w:rPr>
                <w:rFonts w:ascii="宋体" w:eastAsia="宋体" w:hAnsi="宋体" w:cs="宋体"/>
              </w:rPr>
            </w:pPr>
          </w:p>
        </w:tc>
      </w:tr>
      <w:tr w:rsidR="00050759" w14:paraId="42011772" w14:textId="77777777">
        <w:tc>
          <w:tcPr>
            <w:tcW w:w="1129" w:type="dxa"/>
            <w:vMerge/>
            <w:vAlign w:val="center"/>
          </w:tcPr>
          <w:p w14:paraId="70E3D2ED" w14:textId="77777777" w:rsidR="00050759" w:rsidRDefault="00050759">
            <w:pPr>
              <w:jc w:val="center"/>
              <w:rPr>
                <w:rFonts w:ascii="宋体" w:eastAsia="宋体" w:hAnsi="宋体" w:cs="宋体"/>
              </w:rPr>
            </w:pPr>
          </w:p>
        </w:tc>
        <w:tc>
          <w:tcPr>
            <w:tcW w:w="1462" w:type="dxa"/>
            <w:vAlign w:val="center"/>
          </w:tcPr>
          <w:p w14:paraId="6F1FCD53" w14:textId="77777777" w:rsidR="00050759" w:rsidRDefault="0064082D">
            <w:pPr>
              <w:jc w:val="center"/>
              <w:rPr>
                <w:rFonts w:ascii="Times New Roman" w:eastAsia="STFangsong" w:hAnsi="Times New Roman" w:cs="Times New Roman"/>
              </w:rPr>
            </w:pPr>
            <w:r>
              <w:rPr>
                <w:rFonts w:ascii="宋体" w:eastAsia="宋体" w:hAnsi="宋体" w:cs="宋体" w:hint="eastAsia"/>
              </w:rPr>
              <w:t>实践学时</w:t>
            </w:r>
          </w:p>
        </w:tc>
        <w:tc>
          <w:tcPr>
            <w:tcW w:w="806" w:type="dxa"/>
            <w:vAlign w:val="center"/>
          </w:tcPr>
          <w:p w14:paraId="3214D37A" w14:textId="77777777" w:rsidR="00050759" w:rsidRDefault="0064082D">
            <w:pPr>
              <w:jc w:val="center"/>
              <w:rPr>
                <w:rFonts w:ascii="宋体" w:eastAsia="宋体" w:hAnsi="宋体" w:cs="宋体"/>
              </w:rPr>
            </w:pPr>
            <w:r>
              <w:rPr>
                <w:rFonts w:ascii="Times New Roman" w:eastAsia="STFangsong" w:hAnsi="Times New Roman" w:cs="Times New Roman" w:hint="eastAsia"/>
              </w:rPr>
              <w:t>0</w:t>
            </w:r>
          </w:p>
        </w:tc>
        <w:tc>
          <w:tcPr>
            <w:tcW w:w="1276" w:type="dxa"/>
            <w:vMerge/>
            <w:vAlign w:val="center"/>
          </w:tcPr>
          <w:p w14:paraId="6401BF91" w14:textId="77777777" w:rsidR="00050759" w:rsidRDefault="00050759">
            <w:pPr>
              <w:jc w:val="center"/>
              <w:rPr>
                <w:rFonts w:ascii="Times New Roman" w:eastAsia="STFangsong" w:hAnsi="Times New Roman" w:cs="Times New Roman"/>
              </w:rPr>
            </w:pPr>
          </w:p>
        </w:tc>
        <w:tc>
          <w:tcPr>
            <w:tcW w:w="2126" w:type="dxa"/>
            <w:vAlign w:val="center"/>
          </w:tcPr>
          <w:p w14:paraId="321F0C1F" w14:textId="77777777" w:rsidR="00050759" w:rsidRDefault="0064082D">
            <w:pPr>
              <w:jc w:val="center"/>
              <w:rPr>
                <w:rFonts w:ascii="宋体" w:eastAsia="宋体" w:hAnsi="宋体" w:cs="宋体"/>
              </w:rPr>
            </w:pPr>
            <w:r>
              <w:rPr>
                <w:rFonts w:ascii="宋体" w:eastAsia="宋体" w:hAnsi="宋体" w:cs="宋体" w:hint="eastAsia"/>
              </w:rPr>
              <w:t>实验项目数</w:t>
            </w:r>
          </w:p>
        </w:tc>
        <w:tc>
          <w:tcPr>
            <w:tcW w:w="1503" w:type="dxa"/>
            <w:vAlign w:val="center"/>
          </w:tcPr>
          <w:p w14:paraId="6C20D10F" w14:textId="77777777" w:rsidR="00050759" w:rsidRDefault="00050759">
            <w:pPr>
              <w:jc w:val="center"/>
              <w:rPr>
                <w:rFonts w:ascii="宋体" w:eastAsia="宋体" w:hAnsi="宋体" w:cs="宋体"/>
              </w:rPr>
            </w:pPr>
          </w:p>
        </w:tc>
      </w:tr>
      <w:tr w:rsidR="00050759" w14:paraId="38FC36DE" w14:textId="77777777">
        <w:tc>
          <w:tcPr>
            <w:tcW w:w="1129" w:type="dxa"/>
            <w:vMerge/>
            <w:vAlign w:val="center"/>
          </w:tcPr>
          <w:p w14:paraId="3EED58F0" w14:textId="77777777" w:rsidR="00050759" w:rsidRDefault="00050759">
            <w:pPr>
              <w:jc w:val="center"/>
              <w:rPr>
                <w:rFonts w:ascii="宋体" w:eastAsia="宋体" w:hAnsi="宋体" w:cs="宋体"/>
              </w:rPr>
            </w:pPr>
          </w:p>
        </w:tc>
        <w:tc>
          <w:tcPr>
            <w:tcW w:w="1462" w:type="dxa"/>
            <w:vAlign w:val="center"/>
          </w:tcPr>
          <w:p w14:paraId="3279D7F0" w14:textId="77777777" w:rsidR="00050759" w:rsidRDefault="0064082D">
            <w:pPr>
              <w:jc w:val="center"/>
              <w:rPr>
                <w:rFonts w:ascii="Times New Roman" w:eastAsia="STFangsong" w:hAnsi="Times New Roman" w:cs="Times New Roman"/>
              </w:rPr>
            </w:pPr>
            <w:r>
              <w:rPr>
                <w:rFonts w:ascii="宋体" w:eastAsia="宋体" w:hAnsi="宋体" w:cs="宋体" w:hint="eastAsia"/>
              </w:rPr>
              <w:t>课外学时</w:t>
            </w:r>
          </w:p>
        </w:tc>
        <w:tc>
          <w:tcPr>
            <w:tcW w:w="806" w:type="dxa"/>
            <w:vAlign w:val="center"/>
          </w:tcPr>
          <w:p w14:paraId="075DE97C" w14:textId="77777777" w:rsidR="00050759" w:rsidRDefault="0064082D">
            <w:pPr>
              <w:jc w:val="center"/>
              <w:rPr>
                <w:rFonts w:ascii="宋体" w:eastAsia="宋体" w:hAnsi="宋体" w:cs="宋体"/>
              </w:rPr>
            </w:pPr>
            <w:r>
              <w:rPr>
                <w:rFonts w:ascii="Times New Roman" w:eastAsia="STFangsong" w:hAnsi="Times New Roman" w:cs="Times New Roman" w:hint="eastAsia"/>
              </w:rPr>
              <w:t>0</w:t>
            </w:r>
          </w:p>
        </w:tc>
        <w:tc>
          <w:tcPr>
            <w:tcW w:w="1276" w:type="dxa"/>
            <w:vMerge/>
            <w:vAlign w:val="center"/>
          </w:tcPr>
          <w:p w14:paraId="38D2DE9D" w14:textId="77777777" w:rsidR="00050759" w:rsidRDefault="00050759">
            <w:pPr>
              <w:jc w:val="center"/>
              <w:rPr>
                <w:rFonts w:ascii="Times New Roman" w:eastAsia="STFangsong" w:hAnsi="Times New Roman" w:cs="Times New Roman"/>
              </w:rPr>
            </w:pPr>
          </w:p>
        </w:tc>
        <w:tc>
          <w:tcPr>
            <w:tcW w:w="2126" w:type="dxa"/>
            <w:vAlign w:val="center"/>
          </w:tcPr>
          <w:p w14:paraId="0CB2F917" w14:textId="77777777" w:rsidR="00050759" w:rsidRDefault="0064082D">
            <w:pPr>
              <w:jc w:val="center"/>
              <w:rPr>
                <w:rFonts w:ascii="宋体" w:eastAsia="宋体" w:hAnsi="宋体" w:cs="宋体"/>
              </w:rPr>
            </w:pPr>
            <w:r>
              <w:rPr>
                <w:rFonts w:ascii="宋体" w:eastAsia="宋体" w:hAnsi="宋体" w:cs="宋体" w:hint="eastAsia"/>
              </w:rPr>
              <w:t>开课中心</w:t>
            </w:r>
          </w:p>
        </w:tc>
        <w:tc>
          <w:tcPr>
            <w:tcW w:w="1503" w:type="dxa"/>
            <w:vAlign w:val="center"/>
          </w:tcPr>
          <w:p w14:paraId="490AA8D8" w14:textId="77777777" w:rsidR="00050759" w:rsidRDefault="00050759">
            <w:pPr>
              <w:jc w:val="center"/>
              <w:rPr>
                <w:rFonts w:ascii="宋体" w:eastAsia="宋体" w:hAnsi="宋体" w:cs="宋体"/>
              </w:rPr>
            </w:pPr>
          </w:p>
        </w:tc>
      </w:tr>
      <w:tr w:rsidR="00050759" w14:paraId="7A5A97B2" w14:textId="77777777">
        <w:tc>
          <w:tcPr>
            <w:tcW w:w="1129" w:type="dxa"/>
            <w:vAlign w:val="center"/>
          </w:tcPr>
          <w:p w14:paraId="3ED1B8AB" w14:textId="77777777" w:rsidR="00050759" w:rsidRDefault="0064082D">
            <w:pPr>
              <w:jc w:val="center"/>
              <w:rPr>
                <w:rFonts w:ascii="宋体" w:eastAsia="宋体" w:hAnsi="宋体" w:cs="宋体"/>
              </w:rPr>
            </w:pPr>
            <w:r>
              <w:rPr>
                <w:rFonts w:ascii="宋体" w:eastAsia="宋体" w:hAnsi="宋体" w:cs="宋体" w:hint="eastAsia"/>
              </w:rPr>
              <w:t>课程</w:t>
            </w:r>
          </w:p>
          <w:p w14:paraId="0EA63FAE" w14:textId="77777777" w:rsidR="00050759" w:rsidRDefault="0064082D">
            <w:pPr>
              <w:jc w:val="center"/>
              <w:rPr>
                <w:rFonts w:ascii="宋体" w:eastAsia="宋体" w:hAnsi="宋体" w:cs="宋体"/>
              </w:rPr>
            </w:pPr>
            <w:r>
              <w:rPr>
                <w:rFonts w:ascii="宋体" w:eastAsia="宋体" w:hAnsi="宋体" w:cs="宋体" w:hint="eastAsia"/>
              </w:rPr>
              <w:t>负责人</w:t>
            </w:r>
          </w:p>
        </w:tc>
        <w:tc>
          <w:tcPr>
            <w:tcW w:w="7173" w:type="dxa"/>
            <w:gridSpan w:val="5"/>
            <w:vAlign w:val="center"/>
          </w:tcPr>
          <w:p w14:paraId="1AE5BB99" w14:textId="77777777" w:rsidR="00050759" w:rsidRDefault="0064082D">
            <w:pPr>
              <w:rPr>
                <w:rFonts w:ascii="宋体" w:eastAsia="宋体" w:hAnsi="宋体" w:cs="宋体"/>
              </w:rPr>
            </w:pPr>
            <w:r>
              <w:rPr>
                <w:rFonts w:ascii="宋体" w:eastAsia="宋体" w:hAnsi="宋体" w:cs="宋体" w:hint="eastAsia"/>
              </w:rPr>
              <w:t>彭其渊</w:t>
            </w:r>
          </w:p>
        </w:tc>
      </w:tr>
      <w:tr w:rsidR="00050759" w14:paraId="3B42B894" w14:textId="77777777">
        <w:tc>
          <w:tcPr>
            <w:tcW w:w="1129" w:type="dxa"/>
            <w:vAlign w:val="center"/>
          </w:tcPr>
          <w:p w14:paraId="007A93EF" w14:textId="77777777" w:rsidR="00050759" w:rsidRDefault="0064082D">
            <w:pPr>
              <w:jc w:val="center"/>
              <w:rPr>
                <w:rFonts w:ascii="宋体" w:eastAsia="宋体" w:hAnsi="宋体" w:cs="宋体"/>
              </w:rPr>
            </w:pPr>
            <w:r>
              <w:rPr>
                <w:rFonts w:ascii="宋体" w:eastAsia="宋体" w:hAnsi="宋体" w:cs="宋体" w:hint="eastAsia"/>
              </w:rPr>
              <w:t>适用专业</w:t>
            </w:r>
          </w:p>
        </w:tc>
        <w:tc>
          <w:tcPr>
            <w:tcW w:w="7173" w:type="dxa"/>
            <w:gridSpan w:val="5"/>
          </w:tcPr>
          <w:p w14:paraId="7989EC7F" w14:textId="77777777" w:rsidR="00050759" w:rsidRDefault="0064082D">
            <w:pPr>
              <w:rPr>
                <w:rFonts w:ascii="宋体" w:eastAsia="宋体" w:hAnsi="宋体" w:cs="宋体"/>
              </w:rPr>
            </w:pPr>
            <w:r>
              <w:rPr>
                <w:rFonts w:ascii="宋体" w:eastAsia="宋体" w:hAnsi="宋体" w:cs="宋体" w:hint="eastAsia"/>
              </w:rPr>
              <w:t>交通运输</w:t>
            </w:r>
          </w:p>
        </w:tc>
      </w:tr>
      <w:tr w:rsidR="00050759" w14:paraId="60228CA0" w14:textId="77777777">
        <w:tc>
          <w:tcPr>
            <w:tcW w:w="1129" w:type="dxa"/>
            <w:vAlign w:val="center"/>
          </w:tcPr>
          <w:p w14:paraId="09AFCF20" w14:textId="77777777" w:rsidR="00050759" w:rsidRDefault="0064082D">
            <w:pPr>
              <w:jc w:val="center"/>
              <w:rPr>
                <w:rFonts w:ascii="宋体" w:eastAsia="宋体" w:hAnsi="宋体" w:cs="宋体"/>
              </w:rPr>
            </w:pPr>
            <w:r>
              <w:rPr>
                <w:rFonts w:ascii="宋体" w:eastAsia="宋体" w:hAnsi="宋体" w:cs="宋体" w:hint="eastAsia"/>
              </w:rPr>
              <w:t>授课语言</w:t>
            </w:r>
          </w:p>
        </w:tc>
        <w:tc>
          <w:tcPr>
            <w:tcW w:w="7173" w:type="dxa"/>
            <w:gridSpan w:val="5"/>
          </w:tcPr>
          <w:p w14:paraId="38A9AB6F" w14:textId="77777777" w:rsidR="00050759" w:rsidRDefault="0064082D">
            <w:pPr>
              <w:rPr>
                <w:rFonts w:ascii="宋体" w:eastAsia="宋体" w:hAnsi="宋体" w:cs="宋体"/>
              </w:rPr>
            </w:pPr>
            <w:r>
              <w:rPr>
                <w:rFonts w:ascii="宋体" w:eastAsia="宋体" w:hAnsi="宋体" w:cs="宋体" w:hint="eastAsia"/>
              </w:rPr>
              <w:t>中文</w:t>
            </w:r>
          </w:p>
        </w:tc>
      </w:tr>
      <w:tr w:rsidR="00050759" w14:paraId="1BDC4C16" w14:textId="77777777">
        <w:tc>
          <w:tcPr>
            <w:tcW w:w="1129" w:type="dxa"/>
            <w:vAlign w:val="center"/>
          </w:tcPr>
          <w:p w14:paraId="2879C505" w14:textId="77777777" w:rsidR="00050759" w:rsidRDefault="0064082D">
            <w:pPr>
              <w:jc w:val="center"/>
              <w:rPr>
                <w:rFonts w:ascii="宋体" w:eastAsia="宋体" w:hAnsi="宋体" w:cs="宋体"/>
              </w:rPr>
            </w:pPr>
            <w:r>
              <w:rPr>
                <w:rFonts w:ascii="宋体" w:eastAsia="宋体" w:hAnsi="宋体" w:cs="宋体" w:hint="eastAsia"/>
              </w:rPr>
              <w:t>先修课程</w:t>
            </w:r>
          </w:p>
        </w:tc>
        <w:tc>
          <w:tcPr>
            <w:tcW w:w="7173" w:type="dxa"/>
            <w:gridSpan w:val="5"/>
          </w:tcPr>
          <w:p w14:paraId="6288240F" w14:textId="77777777" w:rsidR="00050759" w:rsidRDefault="0064082D">
            <w:pPr>
              <w:rPr>
                <w:rFonts w:ascii="宋体" w:eastAsia="宋体" w:hAnsi="宋体" w:cs="宋体"/>
              </w:rPr>
            </w:pPr>
            <w:r>
              <w:rPr>
                <w:rFonts w:ascii="宋体" w:eastAsia="宋体" w:hAnsi="宋体" w:cs="宋体" w:hint="eastAsia"/>
              </w:rPr>
              <w:t>交通运输系统分析、交通运输规划原理、交通运输安全工程、机车车辆与列车牵引计算、铁路通信信号与列车运行控制、线路基础与铁路选线设计</w:t>
            </w:r>
          </w:p>
        </w:tc>
      </w:tr>
      <w:tr w:rsidR="00050759" w14:paraId="7C5EB161" w14:textId="77777777">
        <w:tc>
          <w:tcPr>
            <w:tcW w:w="1129" w:type="dxa"/>
            <w:vAlign w:val="center"/>
          </w:tcPr>
          <w:p w14:paraId="6D5FAC66" w14:textId="77777777" w:rsidR="00050759" w:rsidRDefault="0064082D">
            <w:pPr>
              <w:jc w:val="center"/>
              <w:rPr>
                <w:rFonts w:ascii="宋体" w:eastAsia="宋体" w:hAnsi="宋体" w:cs="宋体"/>
              </w:rPr>
            </w:pPr>
            <w:r>
              <w:rPr>
                <w:rFonts w:ascii="宋体" w:eastAsia="宋体" w:hAnsi="宋体" w:cs="宋体" w:hint="eastAsia"/>
              </w:rPr>
              <w:t>后续课程</w:t>
            </w:r>
          </w:p>
        </w:tc>
        <w:tc>
          <w:tcPr>
            <w:tcW w:w="7173" w:type="dxa"/>
            <w:gridSpan w:val="5"/>
          </w:tcPr>
          <w:p w14:paraId="0A65BF0B" w14:textId="77777777" w:rsidR="00050759" w:rsidRDefault="0064082D">
            <w:pPr>
              <w:rPr>
                <w:rFonts w:ascii="宋体" w:eastAsia="宋体" w:hAnsi="宋体" w:cs="宋体"/>
              </w:rPr>
            </w:pPr>
            <w:r>
              <w:rPr>
                <w:rFonts w:ascii="宋体" w:eastAsia="宋体" w:hAnsi="宋体" w:cs="宋体" w:hint="eastAsia"/>
              </w:rPr>
              <w:t>行车组织仿真实验、高速铁路运输组织基础、铁路规章</w:t>
            </w:r>
          </w:p>
        </w:tc>
      </w:tr>
      <w:tr w:rsidR="00050759" w14:paraId="12313F48" w14:textId="77777777">
        <w:tc>
          <w:tcPr>
            <w:tcW w:w="1129" w:type="dxa"/>
            <w:vAlign w:val="center"/>
          </w:tcPr>
          <w:p w14:paraId="57C7D2C5" w14:textId="77777777" w:rsidR="00050759" w:rsidRDefault="0064082D">
            <w:pPr>
              <w:ind w:leftChars="-51" w:left="-107" w:rightChars="-53" w:right="-111"/>
              <w:jc w:val="center"/>
              <w:rPr>
                <w:rFonts w:ascii="宋体" w:eastAsia="宋体" w:hAnsi="宋体" w:cs="宋体"/>
              </w:rPr>
            </w:pPr>
            <w:r>
              <w:rPr>
                <w:rFonts w:ascii="宋体" w:eastAsia="宋体" w:hAnsi="宋体" w:cs="宋体" w:hint="eastAsia"/>
              </w:rPr>
              <w:t>课程</w:t>
            </w:r>
          </w:p>
          <w:p w14:paraId="27EDA536" w14:textId="77777777" w:rsidR="00050759" w:rsidRDefault="0064082D">
            <w:pPr>
              <w:ind w:leftChars="-51" w:left="-107" w:rightChars="-53" w:right="-111"/>
              <w:jc w:val="center"/>
              <w:rPr>
                <w:rFonts w:ascii="宋体" w:eastAsia="宋体" w:hAnsi="宋体" w:cs="宋体"/>
              </w:rPr>
            </w:pPr>
            <w:r>
              <w:rPr>
                <w:rFonts w:ascii="宋体" w:eastAsia="宋体" w:hAnsi="宋体" w:cs="宋体" w:hint="eastAsia"/>
              </w:rPr>
              <w:t>中文简介</w:t>
            </w:r>
          </w:p>
        </w:tc>
        <w:tc>
          <w:tcPr>
            <w:tcW w:w="7173" w:type="dxa"/>
            <w:gridSpan w:val="5"/>
          </w:tcPr>
          <w:p w14:paraId="62E7D3B2" w14:textId="77777777" w:rsidR="00050759" w:rsidRDefault="0064082D">
            <w:pPr>
              <w:ind w:firstLineChars="200" w:firstLine="420"/>
              <w:rPr>
                <w:rFonts w:ascii="宋体" w:eastAsia="宋体" w:hAnsi="宋体" w:cs="宋体"/>
              </w:rPr>
            </w:pPr>
            <w:r>
              <w:rPr>
                <w:rFonts w:ascii="宋体" w:eastAsia="宋体" w:hAnsi="宋体" w:cs="宋体" w:hint="eastAsia"/>
              </w:rPr>
              <w:t>“行车组织”是交通运输专业本科生的一门必修专业课。是交通运输专业课程体系中理论与生产实践联系最紧密，在专业基础理论和基本技能培养方面起支撑作用的课程。本课程站在全局高度，运用系统思想，全面介绍铁路运输组织管理办法和各种运作过程，系统地阐述运输组织的基本理论和基本操作方法，深入讨论各种条件下合理运用技术设备，科学组织运输生产的优化原理及其算法，具有很强的理论性和实践性，在我国铁路运输人才培养方面发挥了重要的作用。</w:t>
            </w:r>
          </w:p>
          <w:p w14:paraId="72B12DA6" w14:textId="77777777" w:rsidR="00050759" w:rsidRDefault="0064082D">
            <w:pPr>
              <w:ind w:firstLineChars="200" w:firstLine="420"/>
              <w:rPr>
                <w:rFonts w:ascii="宋体" w:eastAsia="宋体" w:hAnsi="宋体" w:cs="宋体"/>
              </w:rPr>
            </w:pPr>
            <w:r>
              <w:rPr>
                <w:rFonts w:ascii="宋体" w:eastAsia="宋体" w:hAnsi="宋体" w:cs="宋体" w:hint="eastAsia"/>
              </w:rPr>
              <w:t>本课程系统介绍铁路运输组织的基本理论和基本方法，使学生掌握车站接发列车、调车工作、列车调度指挥的</w:t>
            </w:r>
            <w:r>
              <w:rPr>
                <w:rFonts w:ascii="宋体" w:eastAsia="宋体" w:hAnsi="宋体" w:cs="宋体" w:hint="eastAsia"/>
              </w:rPr>
              <w:t>基本技能，具有合理运用车站各种设备、合理组织车流，编制列车运行图和技术计划，编制车站调车作业计划，组织指挥车站行车工作和列车运行的能力，为毕业后从事铁路运输科学研究、铁路运输规划与宏观决策，铁路运输技术管理和组织指挥等工作打下坚实的基础。铁路运输生产过程复杂，生产环节多，学生难以建立感性认识，“行车组织”课程教学要求学生既要掌握铁路行车组织基本原理，并将理论知识系统化，又要具备从事铁路运输组织与指挥实际工作的基本技能。</w:t>
            </w:r>
          </w:p>
        </w:tc>
      </w:tr>
      <w:tr w:rsidR="00050759" w14:paraId="3A47CA27" w14:textId="77777777">
        <w:tc>
          <w:tcPr>
            <w:tcW w:w="1129" w:type="dxa"/>
            <w:vAlign w:val="center"/>
          </w:tcPr>
          <w:p w14:paraId="065557F2" w14:textId="77777777" w:rsidR="00050759" w:rsidRDefault="0064082D">
            <w:pPr>
              <w:ind w:leftChars="-51" w:left="-107" w:rightChars="-53" w:right="-111"/>
              <w:jc w:val="center"/>
              <w:rPr>
                <w:rFonts w:ascii="宋体" w:eastAsia="宋体" w:hAnsi="宋体" w:cs="宋体"/>
              </w:rPr>
            </w:pPr>
            <w:r>
              <w:rPr>
                <w:rFonts w:ascii="宋体" w:eastAsia="宋体" w:hAnsi="宋体" w:cs="宋体" w:hint="eastAsia"/>
              </w:rPr>
              <w:t>课程</w:t>
            </w:r>
          </w:p>
          <w:p w14:paraId="131B8787" w14:textId="77777777" w:rsidR="00050759" w:rsidRDefault="0064082D">
            <w:pPr>
              <w:ind w:leftChars="-51" w:left="-107" w:rightChars="-53" w:right="-111"/>
              <w:jc w:val="center"/>
              <w:rPr>
                <w:rFonts w:ascii="STFangsong" w:eastAsia="STFangsong" w:hAnsi="STFangsong"/>
              </w:rPr>
            </w:pPr>
            <w:r>
              <w:rPr>
                <w:rFonts w:ascii="宋体" w:eastAsia="宋体" w:hAnsi="宋体" w:cs="宋体" w:hint="eastAsia"/>
              </w:rPr>
              <w:t>英文简介</w:t>
            </w:r>
          </w:p>
        </w:tc>
        <w:tc>
          <w:tcPr>
            <w:tcW w:w="7173" w:type="dxa"/>
            <w:gridSpan w:val="5"/>
          </w:tcPr>
          <w:p w14:paraId="222B0AC1" w14:textId="77777777" w:rsidR="00050759" w:rsidRDefault="0064082D">
            <w:pPr>
              <w:ind w:firstLineChars="200" w:firstLine="420"/>
              <w:rPr>
                <w:rFonts w:ascii="Times New Roman" w:eastAsia="STFangsong" w:hAnsi="Times New Roman" w:cs="Times New Roman"/>
              </w:rPr>
            </w:pPr>
            <w:r>
              <w:rPr>
                <w:rFonts w:ascii="Times New Roman" w:eastAsia="STFangsong" w:hAnsi="Times New Roman" w:cs="Times New Roman"/>
              </w:rPr>
              <w:t>Train operation organization is a c</w:t>
            </w:r>
            <w:r>
              <w:rPr>
                <w:rFonts w:ascii="Times New Roman" w:eastAsia="STFangsong" w:hAnsi="Times New Roman" w:cs="Times New Roman"/>
              </w:rPr>
              <w:t xml:space="preserve">ompulsory course for undergraduates majoring in traffic and transportation. It is the most closely related theory and </w:t>
            </w:r>
            <w:r>
              <w:rPr>
                <w:rFonts w:ascii="Times New Roman" w:eastAsia="STFangsong" w:hAnsi="Times New Roman" w:cs="Times New Roman"/>
              </w:rPr>
              <w:lastRenderedPageBreak/>
              <w:t xml:space="preserve">production practice in the transportation professional curriculum system, and it plays a supporting role in the professional basic theory </w:t>
            </w:r>
            <w:r>
              <w:rPr>
                <w:rFonts w:ascii="Times New Roman" w:eastAsia="STFangsong" w:hAnsi="Times New Roman" w:cs="Times New Roman"/>
              </w:rPr>
              <w:t>and basic skills cultivation. It introduces the method of railway transportation management with operational processes comprehensively, the basic theory and operational method of transportation organization systematically and discusses the proper use of te</w:t>
            </w:r>
            <w:r>
              <w:rPr>
                <w:rFonts w:ascii="Times New Roman" w:eastAsia="STFangsong" w:hAnsi="Times New Roman" w:cs="Times New Roman"/>
              </w:rPr>
              <w:t>chnical equipment in different conditions, the optimization principle and algorithm of organization of transportation scientifically in depth. The course is organized with systems thinking, and it plays an important role in the cultivation of railway trans</w:t>
            </w:r>
            <w:r>
              <w:rPr>
                <w:rFonts w:ascii="Times New Roman" w:eastAsia="STFangsong" w:hAnsi="Times New Roman" w:cs="Times New Roman"/>
              </w:rPr>
              <w:t>portation talent in Mainland China with its strong theoretical and practical significance.</w:t>
            </w:r>
          </w:p>
          <w:p w14:paraId="6848573E" w14:textId="77777777" w:rsidR="00050759" w:rsidRDefault="0064082D">
            <w:pPr>
              <w:ind w:firstLineChars="200" w:firstLine="420"/>
              <w:rPr>
                <w:rFonts w:ascii="STFangsong" w:eastAsia="STFangsong" w:hAnsi="STFangsong"/>
              </w:rPr>
            </w:pPr>
            <w:r>
              <w:rPr>
                <w:rFonts w:ascii="Times New Roman" w:eastAsia="STFangsong" w:hAnsi="Times New Roman" w:cs="Times New Roman"/>
              </w:rPr>
              <w:t>This course introduces the basic theories and methods of railway transportation organization systematically. The basic skills of train receiving and dispatching, shu</w:t>
            </w:r>
            <w:r>
              <w:rPr>
                <w:rFonts w:ascii="Times New Roman" w:eastAsia="STFangsong" w:hAnsi="Times New Roman" w:cs="Times New Roman"/>
              </w:rPr>
              <w:t>nting work, train dispatching and commanding, station equipment utilization, traffic flow organization, train operation timetabling, preparation of station shunting operation plan, organization and command of station daily work and train operation can be a</w:t>
            </w:r>
            <w:r>
              <w:rPr>
                <w:rFonts w:ascii="Times New Roman" w:eastAsia="STFangsong" w:hAnsi="Times New Roman" w:cs="Times New Roman"/>
              </w:rPr>
              <w:t>cquired by students. A solid foundation is laid for future research in railway transportation scientific research, railway transportation planning and macro decision-making, railway transportation technical management and organization and command. The rail</w:t>
            </w:r>
            <w:r>
              <w:rPr>
                <w:rFonts w:ascii="Times New Roman" w:eastAsia="STFangsong" w:hAnsi="Times New Roman" w:cs="Times New Roman"/>
              </w:rPr>
              <w:t>way transportation is complicated in terms of its process. It is difficult for students to establish perceptual knowledge. The teaching objectives of traffic organization not only requires students to acquire the basic principles of railway operation organ</w:t>
            </w:r>
            <w:r>
              <w:rPr>
                <w:rFonts w:ascii="Times New Roman" w:eastAsia="STFangsong" w:hAnsi="Times New Roman" w:cs="Times New Roman"/>
              </w:rPr>
              <w:t>ization and systematize theoretical knowledge, but to equip with basic practical skills of organizing and commanding of railway transportation.</w:t>
            </w:r>
          </w:p>
        </w:tc>
      </w:tr>
    </w:tbl>
    <w:p w14:paraId="6F2311D5" w14:textId="77777777" w:rsidR="00050759" w:rsidRDefault="0064082D">
      <w:pPr>
        <w:rPr>
          <w:rFonts w:ascii="Times New Roman" w:hAnsi="Times New Roman" w:cs="Times New Roman"/>
          <w:b/>
          <w:color w:val="FF0000"/>
          <w:szCs w:val="24"/>
        </w:rPr>
      </w:pPr>
      <w:r>
        <w:rPr>
          <w:rFonts w:ascii="Times New Roman" w:hAnsi="Times New Roman" w:cs="Times New Roman" w:hint="eastAsia"/>
          <w:b/>
          <w:color w:val="FF0000"/>
          <w:szCs w:val="24"/>
        </w:rPr>
        <w:lastRenderedPageBreak/>
        <w:t>注：</w:t>
      </w:r>
    </w:p>
    <w:p w14:paraId="2F700626" w14:textId="77777777" w:rsidR="00050759" w:rsidRDefault="0064082D">
      <w:pPr>
        <w:ind w:left="281" w:hangingChars="134" w:hanging="281"/>
        <w:rPr>
          <w:rFonts w:ascii="Times New Roman" w:hAnsi="Times New Roman"/>
          <w:color w:val="FF0000"/>
          <w:szCs w:val="21"/>
        </w:rPr>
      </w:pPr>
      <w:r>
        <w:rPr>
          <w:rFonts w:ascii="Times New Roman" w:hAnsi="Times New Roman" w:cs="Times New Roman" w:hint="eastAsia"/>
          <w:color w:val="FF0000"/>
          <w:szCs w:val="24"/>
        </w:rPr>
        <w:t>1.</w:t>
      </w:r>
      <w:r>
        <w:rPr>
          <w:rFonts w:ascii="Times New Roman" w:hAnsi="Times New Roman"/>
          <w:color w:val="FF0000"/>
          <w:szCs w:val="21"/>
        </w:rPr>
        <w:t xml:space="preserve"> </w:t>
      </w:r>
      <w:r>
        <w:rPr>
          <w:rFonts w:ascii="Times New Roman" w:hAnsi="Times New Roman" w:hint="eastAsia"/>
          <w:color w:val="FF0000"/>
          <w:szCs w:val="21"/>
        </w:rPr>
        <w:t>课程类型分为：</w:t>
      </w:r>
    </w:p>
    <w:p w14:paraId="77A8BDB0" w14:textId="77777777" w:rsidR="00050759" w:rsidRDefault="0064082D">
      <w:pPr>
        <w:ind w:left="281"/>
        <w:rPr>
          <w:rFonts w:ascii="Times New Roman" w:hAnsi="Times New Roman"/>
          <w:bCs/>
          <w:color w:val="FF0000"/>
          <w:sz w:val="18"/>
          <w:szCs w:val="18"/>
        </w:rPr>
      </w:pPr>
      <w:r>
        <w:rPr>
          <w:rFonts w:ascii="Times New Roman" w:hAnsi="Times New Roman"/>
          <w:color w:val="FF0000"/>
          <w:szCs w:val="21"/>
        </w:rPr>
        <w:t>通识课</w:t>
      </w:r>
      <w:r>
        <w:rPr>
          <w:rFonts w:ascii="Times New Roman" w:hAnsi="Times New Roman" w:hint="eastAsia"/>
          <w:color w:val="FF0000"/>
          <w:szCs w:val="21"/>
        </w:rPr>
        <w:t>（</w:t>
      </w:r>
      <w:r>
        <w:rPr>
          <w:rFonts w:ascii="Times New Roman" w:hAnsi="Times New Roman"/>
          <w:bCs/>
          <w:color w:val="FF0000"/>
          <w:sz w:val="18"/>
          <w:szCs w:val="18"/>
        </w:rPr>
        <w:t>General Education Courses</w:t>
      </w:r>
      <w:r>
        <w:rPr>
          <w:rFonts w:ascii="Times New Roman" w:hAnsi="Times New Roman" w:hint="eastAsia"/>
          <w:color w:val="FF0000"/>
          <w:szCs w:val="21"/>
        </w:rPr>
        <w:t>）</w:t>
      </w:r>
      <w:r>
        <w:rPr>
          <w:rFonts w:ascii="Times New Roman" w:hAnsi="Times New Roman" w:hint="eastAsia"/>
          <w:bCs/>
          <w:color w:val="FF0000"/>
          <w:sz w:val="18"/>
          <w:szCs w:val="18"/>
        </w:rPr>
        <w:t>，</w:t>
      </w:r>
      <w:r>
        <w:rPr>
          <w:rFonts w:ascii="Times New Roman" w:hAnsi="Times New Roman"/>
          <w:color w:val="FF0000"/>
          <w:szCs w:val="21"/>
        </w:rPr>
        <w:t>新生研讨课</w:t>
      </w:r>
      <w:r>
        <w:rPr>
          <w:rFonts w:ascii="Times New Roman" w:hAnsi="Times New Roman" w:hint="eastAsia"/>
          <w:color w:val="FF0000"/>
          <w:szCs w:val="21"/>
        </w:rPr>
        <w:t>（</w:t>
      </w:r>
      <w:r>
        <w:rPr>
          <w:rFonts w:ascii="Times New Roman" w:hAnsi="Times New Roman"/>
          <w:bCs/>
          <w:color w:val="FF0000"/>
          <w:sz w:val="18"/>
          <w:szCs w:val="18"/>
        </w:rPr>
        <w:t>Freshman Seminar</w:t>
      </w:r>
      <w:r>
        <w:rPr>
          <w:rFonts w:ascii="Times New Roman" w:hAnsi="Times New Roman" w:hint="eastAsia"/>
          <w:color w:val="FF0000"/>
          <w:szCs w:val="21"/>
        </w:rPr>
        <w:t>）</w:t>
      </w:r>
      <w:r>
        <w:rPr>
          <w:rFonts w:ascii="Times New Roman" w:hAnsi="Times New Roman" w:hint="eastAsia"/>
          <w:bCs/>
          <w:color w:val="FF0000"/>
          <w:sz w:val="18"/>
          <w:szCs w:val="18"/>
        </w:rPr>
        <w:t>，</w:t>
      </w:r>
    </w:p>
    <w:p w14:paraId="1F81F9A2" w14:textId="14B8317F" w:rsidR="00050759" w:rsidRDefault="0064082D">
      <w:pPr>
        <w:ind w:left="281"/>
        <w:rPr>
          <w:rFonts w:ascii="Times New Roman" w:hAnsi="Times New Roman"/>
          <w:bCs/>
          <w:color w:val="FF0000"/>
          <w:sz w:val="18"/>
          <w:szCs w:val="18"/>
        </w:rPr>
      </w:pPr>
      <w:r>
        <w:rPr>
          <w:rFonts w:ascii="Times New Roman" w:hAnsi="Times New Roman"/>
          <w:color w:val="FF0000"/>
          <w:szCs w:val="21"/>
        </w:rPr>
        <w:t>公共基础课</w:t>
      </w:r>
      <w:r>
        <w:rPr>
          <w:rFonts w:ascii="Times New Roman" w:hAnsi="Times New Roman" w:hint="eastAsia"/>
          <w:color w:val="FF0000"/>
          <w:szCs w:val="21"/>
        </w:rPr>
        <w:t>（</w:t>
      </w:r>
      <w:r>
        <w:rPr>
          <w:rFonts w:ascii="Times New Roman" w:hAnsi="Times New Roman"/>
          <w:bCs/>
          <w:color w:val="FF0000"/>
          <w:sz w:val="18"/>
          <w:szCs w:val="18"/>
        </w:rPr>
        <w:t>Public Basic Courses</w:t>
      </w:r>
      <w:r>
        <w:rPr>
          <w:rFonts w:ascii="Times New Roman" w:hAnsi="Times New Roman" w:hint="eastAsia"/>
          <w:color w:val="FF0000"/>
          <w:szCs w:val="21"/>
        </w:rPr>
        <w:t>）</w:t>
      </w:r>
      <w:r>
        <w:rPr>
          <w:rFonts w:ascii="Times New Roman" w:hAnsi="Times New Roman" w:hint="eastAsia"/>
          <w:bCs/>
          <w:color w:val="FF0000"/>
          <w:sz w:val="18"/>
          <w:szCs w:val="18"/>
        </w:rPr>
        <w:t>，</w:t>
      </w:r>
      <w:r>
        <w:rPr>
          <w:rFonts w:ascii="Times New Roman" w:hAnsi="Times New Roman"/>
          <w:color w:val="FF0000"/>
          <w:szCs w:val="21"/>
        </w:rPr>
        <w:t>专业基础课</w:t>
      </w:r>
      <w:r>
        <w:rPr>
          <w:rFonts w:ascii="Times New Roman" w:hAnsi="Times New Roman"/>
          <w:color w:val="FF0000"/>
          <w:szCs w:val="21"/>
        </w:rPr>
        <w:t xml:space="preserve"> </w:t>
      </w:r>
      <w:r>
        <w:rPr>
          <w:rFonts w:ascii="Times New Roman" w:hAnsi="Times New Roman" w:hint="eastAsia"/>
          <w:color w:val="FF0000"/>
          <w:szCs w:val="21"/>
        </w:rPr>
        <w:t>（</w:t>
      </w:r>
      <w:r>
        <w:rPr>
          <w:rFonts w:ascii="Times New Roman" w:hAnsi="Times New Roman"/>
          <w:bCs/>
          <w:color w:val="FF0000"/>
          <w:sz w:val="18"/>
          <w:szCs w:val="18"/>
        </w:rPr>
        <w:t xml:space="preserve">Specialty Foundational </w:t>
      </w:r>
      <w:r>
        <w:rPr>
          <w:rFonts w:ascii="Times New Roman" w:hAnsi="Times New Roman"/>
          <w:bCs/>
          <w:color w:val="FF0000"/>
          <w:sz w:val="18"/>
          <w:szCs w:val="18"/>
        </w:rPr>
        <w:t>Courses</w:t>
      </w:r>
      <w:r>
        <w:rPr>
          <w:rFonts w:ascii="Times New Roman" w:hAnsi="Times New Roman" w:hint="eastAsia"/>
          <w:color w:val="FF0000"/>
          <w:szCs w:val="21"/>
        </w:rPr>
        <w:t>）</w:t>
      </w:r>
      <w:r>
        <w:rPr>
          <w:rFonts w:ascii="Times New Roman" w:hAnsi="Times New Roman" w:hint="eastAsia"/>
          <w:bCs/>
          <w:color w:val="FF0000"/>
          <w:sz w:val="18"/>
          <w:szCs w:val="18"/>
        </w:rPr>
        <w:t>，</w:t>
      </w:r>
    </w:p>
    <w:p w14:paraId="58527685" w14:textId="77777777" w:rsidR="00050759" w:rsidRDefault="0064082D">
      <w:pPr>
        <w:ind w:left="281"/>
        <w:rPr>
          <w:rFonts w:ascii="Times New Roman" w:hAnsi="Times New Roman"/>
          <w:bCs/>
          <w:color w:val="FF0000"/>
          <w:sz w:val="18"/>
          <w:szCs w:val="18"/>
        </w:rPr>
      </w:pPr>
      <w:r>
        <w:rPr>
          <w:rFonts w:ascii="Times New Roman" w:hAnsi="Times New Roman"/>
          <w:color w:val="FF0000"/>
          <w:szCs w:val="21"/>
        </w:rPr>
        <w:t>专业课</w:t>
      </w:r>
      <w:r>
        <w:rPr>
          <w:rFonts w:ascii="Times New Roman" w:hAnsi="Times New Roman" w:hint="eastAsia"/>
          <w:color w:val="FF0000"/>
          <w:szCs w:val="21"/>
        </w:rPr>
        <w:t>（</w:t>
      </w:r>
      <w:r>
        <w:rPr>
          <w:rFonts w:ascii="Times New Roman" w:hAnsi="Times New Roman"/>
          <w:bCs/>
          <w:color w:val="FF0000"/>
          <w:sz w:val="18"/>
          <w:szCs w:val="18"/>
        </w:rPr>
        <w:t>Specialized Courses</w:t>
      </w:r>
      <w:r>
        <w:rPr>
          <w:rFonts w:ascii="Times New Roman" w:hAnsi="Times New Roman" w:hint="eastAsia"/>
          <w:color w:val="FF0000"/>
          <w:szCs w:val="21"/>
        </w:rPr>
        <w:t>）</w:t>
      </w:r>
      <w:r>
        <w:rPr>
          <w:rFonts w:ascii="Times New Roman" w:hAnsi="Times New Roman" w:hint="eastAsia"/>
          <w:bCs/>
          <w:color w:val="FF0000"/>
          <w:sz w:val="18"/>
          <w:szCs w:val="18"/>
        </w:rPr>
        <w:t>，</w:t>
      </w:r>
      <w:r>
        <w:rPr>
          <w:rFonts w:ascii="Times New Roman" w:hAnsi="Times New Roman"/>
          <w:color w:val="FF0000"/>
          <w:szCs w:val="21"/>
        </w:rPr>
        <w:t>实验课</w:t>
      </w:r>
      <w:r>
        <w:rPr>
          <w:rFonts w:ascii="Times New Roman" w:hAnsi="Times New Roman" w:hint="eastAsia"/>
          <w:color w:val="FF0000"/>
          <w:szCs w:val="21"/>
        </w:rPr>
        <w:t>（</w:t>
      </w:r>
      <w:r>
        <w:rPr>
          <w:rFonts w:ascii="Times New Roman" w:hAnsi="Times New Roman"/>
          <w:bCs/>
          <w:color w:val="FF0000"/>
          <w:sz w:val="18"/>
          <w:szCs w:val="18"/>
        </w:rPr>
        <w:t>Experimental Courses</w:t>
      </w:r>
      <w:r>
        <w:rPr>
          <w:rFonts w:ascii="Times New Roman" w:hAnsi="Times New Roman" w:hint="eastAsia"/>
          <w:color w:val="FF0000"/>
          <w:szCs w:val="21"/>
        </w:rPr>
        <w:t>）</w:t>
      </w:r>
      <w:r>
        <w:rPr>
          <w:rFonts w:ascii="Times New Roman" w:hAnsi="Times New Roman" w:hint="eastAsia"/>
          <w:bCs/>
          <w:color w:val="FF0000"/>
          <w:sz w:val="18"/>
          <w:szCs w:val="18"/>
        </w:rPr>
        <w:t>，</w:t>
      </w:r>
    </w:p>
    <w:p w14:paraId="6E99AEC5" w14:textId="77777777" w:rsidR="00050759" w:rsidRDefault="0064082D">
      <w:pPr>
        <w:ind w:left="281"/>
        <w:rPr>
          <w:rFonts w:ascii="Times New Roman" w:hAnsi="Times New Roman" w:cs="Times New Roman"/>
          <w:color w:val="FF0000"/>
          <w:szCs w:val="24"/>
        </w:rPr>
      </w:pPr>
      <w:r>
        <w:rPr>
          <w:rFonts w:ascii="Times New Roman" w:hAnsi="Times New Roman"/>
          <w:color w:val="FF0000"/>
          <w:szCs w:val="21"/>
        </w:rPr>
        <w:t>课程设计</w:t>
      </w:r>
      <w:r>
        <w:rPr>
          <w:rFonts w:ascii="Times New Roman" w:hAnsi="Times New Roman" w:hint="eastAsia"/>
          <w:color w:val="FF0000"/>
          <w:szCs w:val="21"/>
        </w:rPr>
        <w:t>（</w:t>
      </w:r>
      <w:r>
        <w:rPr>
          <w:rFonts w:ascii="Times New Roman" w:hAnsi="Times New Roman"/>
          <w:bCs/>
          <w:color w:val="FF0000"/>
          <w:sz w:val="18"/>
          <w:szCs w:val="18"/>
        </w:rPr>
        <w:t>Curriculum Design</w:t>
      </w:r>
      <w:r>
        <w:rPr>
          <w:rFonts w:ascii="Times New Roman" w:hAnsi="Times New Roman" w:hint="eastAsia"/>
          <w:color w:val="FF0000"/>
          <w:szCs w:val="21"/>
        </w:rPr>
        <w:t>）</w:t>
      </w:r>
      <w:r>
        <w:rPr>
          <w:rFonts w:ascii="Times New Roman" w:hAnsi="Times New Roman" w:hint="eastAsia"/>
          <w:bCs/>
          <w:color w:val="FF0000"/>
          <w:sz w:val="18"/>
          <w:szCs w:val="18"/>
        </w:rPr>
        <w:t>，</w:t>
      </w:r>
      <w:r>
        <w:rPr>
          <w:rFonts w:ascii="Times New Roman" w:hAnsi="Times New Roman" w:hint="eastAsia"/>
          <w:color w:val="FF0000"/>
          <w:szCs w:val="21"/>
        </w:rPr>
        <w:t>多元化课程（</w:t>
      </w:r>
      <w:r>
        <w:rPr>
          <w:rFonts w:ascii="Times New Roman" w:hAnsi="Times New Roman"/>
          <w:bCs/>
          <w:color w:val="FF0000"/>
          <w:sz w:val="18"/>
          <w:szCs w:val="18"/>
        </w:rPr>
        <w:t>Diversified Courses</w:t>
      </w:r>
      <w:r>
        <w:rPr>
          <w:rFonts w:ascii="Times New Roman" w:hAnsi="Times New Roman" w:hint="eastAsia"/>
          <w:bCs/>
          <w:color w:val="FF0000"/>
          <w:sz w:val="18"/>
          <w:szCs w:val="18"/>
        </w:rPr>
        <w:t>，</w:t>
      </w:r>
      <w:r>
        <w:rPr>
          <w:rFonts w:ascii="Times New Roman" w:hAnsi="Times New Roman" w:hint="eastAsia"/>
          <w:color w:val="FF0000"/>
          <w:szCs w:val="21"/>
        </w:rPr>
        <w:t>实习实训（</w:t>
      </w:r>
      <w:r>
        <w:rPr>
          <w:rFonts w:ascii="Times New Roman" w:hAnsi="Times New Roman"/>
          <w:bCs/>
          <w:color w:val="FF0000"/>
          <w:sz w:val="18"/>
          <w:szCs w:val="18"/>
        </w:rPr>
        <w:t>Practical Training</w:t>
      </w:r>
      <w:r>
        <w:rPr>
          <w:rFonts w:ascii="Times New Roman" w:hAnsi="Times New Roman" w:hint="eastAsia"/>
          <w:color w:val="FF0000"/>
          <w:szCs w:val="21"/>
        </w:rPr>
        <w:t>）</w:t>
      </w:r>
    </w:p>
    <w:p w14:paraId="18D2AF55" w14:textId="77777777" w:rsidR="00050759" w:rsidRDefault="0064082D">
      <w:pPr>
        <w:numPr>
          <w:ilvl w:val="0"/>
          <w:numId w:val="1"/>
        </w:numPr>
        <w:rPr>
          <w:rFonts w:ascii="Times New Roman" w:hAnsi="Times New Roman" w:cs="Times New Roman"/>
          <w:color w:val="FF0000"/>
          <w:szCs w:val="24"/>
        </w:rPr>
      </w:pPr>
      <w:r>
        <w:rPr>
          <w:rFonts w:ascii="Times New Roman" w:hAnsi="Times New Roman" w:cs="Times New Roman" w:hint="eastAsia"/>
          <w:color w:val="FF0000"/>
          <w:szCs w:val="24"/>
        </w:rPr>
        <w:t>实验课程（含独立设课实验和课内实验）需填写《实验内容安排和具体要求》。</w:t>
      </w:r>
    </w:p>
    <w:p w14:paraId="659D1BC8" w14:textId="77777777" w:rsidR="00050759" w:rsidRDefault="00050759"/>
    <w:p w14:paraId="573FA192" w14:textId="77777777" w:rsidR="00050759" w:rsidRDefault="0064082D">
      <w:pPr>
        <w:pStyle w:val="1"/>
        <w:spacing w:beforeLines="75" w:before="234" w:afterLines="25" w:after="78"/>
        <w:rPr>
          <w:rFonts w:ascii="Times New Roman" w:hAnsi="Times New Roman" w:cs="Times New Roman"/>
          <w:szCs w:val="24"/>
        </w:rPr>
      </w:pPr>
      <w:r>
        <w:rPr>
          <w:rFonts w:ascii="Times New Roman" w:hAnsi="Times New Roman" w:cs="Times New Roman" w:hint="eastAsia"/>
          <w:szCs w:val="24"/>
        </w:rPr>
        <w:t>二、</w:t>
      </w:r>
      <w:r>
        <w:rPr>
          <w:rFonts w:ascii="Times New Roman" w:hAnsi="Times New Roman" w:cs="Times New Roman"/>
          <w:szCs w:val="24"/>
        </w:rPr>
        <w:t>适用范围</w:t>
      </w:r>
    </w:p>
    <w:p w14:paraId="3F2636AE"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本课程为线上线下混合式教学课程，</w:t>
      </w:r>
      <w:r>
        <w:rPr>
          <w:rFonts w:ascii="Times New Roman" w:hAnsi="Times New Roman" w:cs="Times New Roman"/>
          <w:sz w:val="24"/>
          <w:szCs w:val="24"/>
        </w:rPr>
        <w:t>本标准适用于西南交通大学交通运输与物流学院交通运输专业《行车组织》</w:t>
      </w:r>
      <w:r>
        <w:rPr>
          <w:rFonts w:ascii="Times New Roman" w:hAnsi="Times New Roman"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学分）</w:t>
      </w:r>
      <w:r>
        <w:rPr>
          <w:rFonts w:ascii="Times New Roman" w:hAnsi="Times New Roman" w:cs="Times New Roman"/>
          <w:sz w:val="24"/>
          <w:szCs w:val="24"/>
        </w:rPr>
        <w:t>课程所有教学班。</w:t>
      </w:r>
    </w:p>
    <w:p w14:paraId="380C867B" w14:textId="77777777" w:rsidR="00050759" w:rsidRDefault="0064082D">
      <w:pPr>
        <w:pStyle w:val="1"/>
        <w:spacing w:beforeLines="75" w:before="234" w:afterLines="25" w:after="78"/>
        <w:rPr>
          <w:rFonts w:ascii="Times New Roman" w:hAnsi="Times New Roman" w:cs="Times New Roman"/>
          <w:szCs w:val="24"/>
        </w:rPr>
      </w:pPr>
      <w:r>
        <w:rPr>
          <w:rFonts w:ascii="Times New Roman" w:hAnsi="Times New Roman" w:cs="Times New Roman" w:hint="eastAsia"/>
          <w:szCs w:val="24"/>
        </w:rPr>
        <w:t>三、</w:t>
      </w:r>
      <w:r>
        <w:rPr>
          <w:rFonts w:ascii="Times New Roman" w:hAnsi="Times New Roman" w:cs="Times New Roman"/>
          <w:szCs w:val="24"/>
        </w:rPr>
        <w:t>教学目标</w:t>
      </w:r>
    </w:p>
    <w:p w14:paraId="538FEB48"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课程教学包含多维度目标</w:t>
      </w:r>
      <w:r>
        <w:rPr>
          <w:rFonts w:asciiTheme="minorEastAsia" w:hAnsiTheme="minorEastAsia" w:cs="Times New Roman"/>
          <w:sz w:val="24"/>
          <w:szCs w:val="24"/>
        </w:rPr>
        <w:t>，应超越</w:t>
      </w:r>
      <w:r>
        <w:rPr>
          <w:rFonts w:asciiTheme="minorEastAsia" w:hAnsiTheme="minorEastAsia" w:cs="Times New Roman"/>
          <w:sz w:val="24"/>
          <w:szCs w:val="24"/>
        </w:rPr>
        <w:t>“</w:t>
      </w:r>
      <w:r>
        <w:rPr>
          <w:rFonts w:asciiTheme="minorEastAsia" w:hAnsiTheme="minorEastAsia" w:cs="Times New Roman"/>
          <w:sz w:val="24"/>
          <w:szCs w:val="24"/>
        </w:rPr>
        <w:t>理解</w:t>
      </w:r>
      <w:r>
        <w:rPr>
          <w:rFonts w:asciiTheme="minorEastAsia" w:hAnsiTheme="minorEastAsia" w:cs="Times New Roman"/>
          <w:sz w:val="24"/>
          <w:szCs w:val="24"/>
        </w:rPr>
        <w:t>+</w:t>
      </w:r>
      <w:r>
        <w:rPr>
          <w:rFonts w:asciiTheme="minorEastAsia" w:hAnsiTheme="minorEastAsia" w:cs="Times New Roman"/>
          <w:sz w:val="24"/>
          <w:szCs w:val="24"/>
        </w:rPr>
        <w:t>记忆</w:t>
      </w:r>
      <w:r>
        <w:rPr>
          <w:rFonts w:asciiTheme="minorEastAsia" w:hAnsiTheme="minorEastAsia" w:cs="Times New Roman"/>
          <w:sz w:val="24"/>
          <w:szCs w:val="24"/>
        </w:rPr>
        <w:t>”</w:t>
      </w:r>
      <w:r>
        <w:rPr>
          <w:rFonts w:asciiTheme="minorEastAsia" w:hAnsiTheme="minorEastAsia" w:cs="Times New Roman"/>
          <w:sz w:val="24"/>
          <w:szCs w:val="24"/>
        </w:rPr>
        <w:t>的浅层次教学目标，将深层次学习纳入教学目标中，涵盖知识、能力、人格与价值等多个维度</w:t>
      </w:r>
      <w:r>
        <w:rPr>
          <w:rFonts w:asciiTheme="minorEastAsia" w:hAnsiTheme="minorEastAsia" w:cs="Times New Roman" w:hint="eastAsia"/>
          <w:sz w:val="24"/>
          <w:szCs w:val="24"/>
        </w:rPr>
        <w:t>，</w:t>
      </w:r>
      <w:r>
        <w:rPr>
          <w:rFonts w:ascii="Times New Roman" w:hAnsi="Times New Roman" w:cs="Times New Roman" w:hint="eastAsia"/>
          <w:sz w:val="24"/>
          <w:szCs w:val="24"/>
        </w:rPr>
        <w:t>有效</w:t>
      </w:r>
      <w:r>
        <w:rPr>
          <w:rFonts w:ascii="Times New Roman" w:hAnsi="Times New Roman" w:cs="Times New Roman"/>
          <w:sz w:val="24"/>
          <w:szCs w:val="24"/>
        </w:rPr>
        <w:t>支持</w:t>
      </w:r>
      <w:r>
        <w:rPr>
          <w:rFonts w:ascii="Times New Roman" w:hAnsi="Times New Roman" w:cs="Times New Roman" w:hint="eastAsia"/>
          <w:sz w:val="24"/>
          <w:szCs w:val="24"/>
        </w:rPr>
        <w:t>专业</w:t>
      </w:r>
      <w:r>
        <w:rPr>
          <w:rFonts w:ascii="Times New Roman" w:hAnsi="Times New Roman" w:cs="Times New Roman"/>
          <w:sz w:val="24"/>
          <w:szCs w:val="24"/>
        </w:rPr>
        <w:t>毕业要求达成</w:t>
      </w:r>
      <w:r>
        <w:rPr>
          <w:rFonts w:ascii="Times New Roman" w:hAnsi="Times New Roman" w:cs="Times New Roman" w:hint="eastAsia"/>
          <w:sz w:val="24"/>
          <w:szCs w:val="24"/>
        </w:rPr>
        <w:t>。</w:t>
      </w:r>
      <w:r>
        <w:rPr>
          <w:rFonts w:ascii="Times New Roman" w:hAnsi="Times New Roman" w:cs="Times New Roman"/>
          <w:sz w:val="24"/>
          <w:szCs w:val="24"/>
        </w:rPr>
        <w:t>具体课程目标如表</w:t>
      </w:r>
      <w:r>
        <w:rPr>
          <w:rFonts w:ascii="Times New Roman" w:hAnsi="Times New Roman" w:cs="Times New Roman"/>
          <w:sz w:val="24"/>
          <w:szCs w:val="24"/>
        </w:rPr>
        <w:t>1</w:t>
      </w:r>
      <w:r>
        <w:rPr>
          <w:rFonts w:ascii="Times New Roman" w:hAnsi="Times New Roman" w:cs="Times New Roman"/>
          <w:sz w:val="24"/>
          <w:szCs w:val="24"/>
        </w:rPr>
        <w:t>所示。</w:t>
      </w:r>
    </w:p>
    <w:p w14:paraId="534217C0" w14:textId="77777777" w:rsidR="00050759" w:rsidRDefault="0064082D">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szCs w:val="21"/>
        </w:rPr>
        <w:t xml:space="preserve">1  </w:t>
      </w:r>
      <w:r>
        <w:rPr>
          <w:rFonts w:ascii="Times New Roman" w:hAnsi="Times New Roman" w:cs="Times New Roman"/>
          <w:szCs w:val="21"/>
        </w:rPr>
        <w:t>课程目标及对</w:t>
      </w:r>
      <w:r>
        <w:rPr>
          <w:rFonts w:ascii="Times New Roman" w:hAnsi="Times New Roman" w:cs="Times New Roman" w:hint="eastAsia"/>
          <w:szCs w:val="21"/>
        </w:rPr>
        <w:t>专业</w:t>
      </w:r>
      <w:r>
        <w:rPr>
          <w:rFonts w:ascii="Times New Roman" w:hAnsi="Times New Roman" w:cs="Times New Roman"/>
          <w:szCs w:val="21"/>
        </w:rPr>
        <w:t>毕业要求的支撑</w:t>
      </w:r>
    </w:p>
    <w:tbl>
      <w:tblPr>
        <w:tblStyle w:val="a9"/>
        <w:tblW w:w="0" w:type="auto"/>
        <w:tblLook w:val="04A0" w:firstRow="1" w:lastRow="0" w:firstColumn="1" w:lastColumn="0" w:noHBand="0" w:noVBand="1"/>
      </w:tblPr>
      <w:tblGrid>
        <w:gridCol w:w="535"/>
        <w:gridCol w:w="2851"/>
        <w:gridCol w:w="1770"/>
        <w:gridCol w:w="3146"/>
      </w:tblGrid>
      <w:tr w:rsidR="00050759" w14:paraId="4DE9D7D3" w14:textId="77777777">
        <w:tc>
          <w:tcPr>
            <w:tcW w:w="535" w:type="dxa"/>
            <w:vAlign w:val="center"/>
          </w:tcPr>
          <w:p w14:paraId="2995FE7D" w14:textId="77777777" w:rsidR="00050759" w:rsidRDefault="0064082D">
            <w:pPr>
              <w:adjustRightInd w:val="0"/>
              <w:snapToGrid w:val="0"/>
              <w:ind w:leftChars="-51" w:left="-107" w:rightChars="-52" w:right="-109"/>
              <w:jc w:val="center"/>
              <w:rPr>
                <w:rFonts w:asciiTheme="minorEastAsia" w:hAnsiTheme="minorEastAsia" w:cs="Times New Roman"/>
              </w:rPr>
            </w:pPr>
            <w:r>
              <w:rPr>
                <w:rFonts w:asciiTheme="minorEastAsia" w:hAnsiTheme="minorEastAsia" w:cs="Times New Roman"/>
              </w:rPr>
              <w:t>序号</w:t>
            </w:r>
          </w:p>
        </w:tc>
        <w:tc>
          <w:tcPr>
            <w:tcW w:w="2851" w:type="dxa"/>
            <w:vAlign w:val="center"/>
          </w:tcPr>
          <w:p w14:paraId="7A50BDCD"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课程目标</w:t>
            </w:r>
          </w:p>
        </w:tc>
        <w:tc>
          <w:tcPr>
            <w:tcW w:w="1770" w:type="dxa"/>
            <w:vAlign w:val="center"/>
          </w:tcPr>
          <w:p w14:paraId="068E4AC0"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支撑毕业要求</w:t>
            </w:r>
          </w:p>
          <w:p w14:paraId="1BD6632C"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指标点</w:t>
            </w:r>
          </w:p>
        </w:tc>
        <w:tc>
          <w:tcPr>
            <w:tcW w:w="3146" w:type="dxa"/>
            <w:vAlign w:val="center"/>
          </w:tcPr>
          <w:p w14:paraId="0AA7440A"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毕业要求</w:t>
            </w:r>
          </w:p>
        </w:tc>
      </w:tr>
      <w:tr w:rsidR="00050759" w14:paraId="442A2903" w14:textId="77777777">
        <w:tc>
          <w:tcPr>
            <w:tcW w:w="535" w:type="dxa"/>
            <w:vAlign w:val="center"/>
          </w:tcPr>
          <w:p w14:paraId="1F09893B"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1</w:t>
            </w:r>
          </w:p>
        </w:tc>
        <w:tc>
          <w:tcPr>
            <w:tcW w:w="2851" w:type="dxa"/>
          </w:tcPr>
          <w:p w14:paraId="4BE24C2A"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1</w:t>
            </w:r>
            <w:r>
              <w:rPr>
                <w:rFonts w:asciiTheme="minorEastAsia" w:hAnsiTheme="minorEastAsia" w:cs="Times New Roman"/>
              </w:rPr>
              <w:t>：通过本课程的学习，要求学生掌握铁路车站作业组织、车流组织、列车运行图编制、枢纽工作组织、车流调整及调度指挥等基本概念、基本原理和基本方法，并能对铁路运输组织生产过程中的相关问题进行描述；</w:t>
            </w:r>
          </w:p>
        </w:tc>
        <w:tc>
          <w:tcPr>
            <w:tcW w:w="1770" w:type="dxa"/>
          </w:tcPr>
          <w:p w14:paraId="4390B5C8"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2.4</w:t>
            </w:r>
            <w:r>
              <w:rPr>
                <w:rFonts w:asciiTheme="minorEastAsia" w:hAnsiTheme="minorEastAsia" w:cs="Times New Roman"/>
              </w:rPr>
              <w:t>能够将数学、自然科学、工程基础和专业知识用于交通运输复杂工程问题解决方案的比选与综合</w:t>
            </w:r>
          </w:p>
        </w:tc>
        <w:tc>
          <w:tcPr>
            <w:tcW w:w="3146" w:type="dxa"/>
          </w:tcPr>
          <w:p w14:paraId="219AA149"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2</w:t>
            </w:r>
            <w:r>
              <w:rPr>
                <w:rFonts w:asciiTheme="minorEastAsia" w:hAnsiTheme="minorEastAsia" w:cs="Times New Roman"/>
              </w:rPr>
              <w:t>工程知识：能够将数学、自然科学、专业理论基础和技术知识用于解决交通运输领域的规划设计、运输组织等复杂工程问题</w:t>
            </w:r>
          </w:p>
        </w:tc>
      </w:tr>
      <w:tr w:rsidR="00050759" w14:paraId="57A7BC11" w14:textId="77777777">
        <w:tc>
          <w:tcPr>
            <w:tcW w:w="535" w:type="dxa"/>
            <w:vAlign w:val="center"/>
          </w:tcPr>
          <w:p w14:paraId="20743A79"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2</w:t>
            </w:r>
          </w:p>
        </w:tc>
        <w:tc>
          <w:tcPr>
            <w:tcW w:w="2851" w:type="dxa"/>
          </w:tcPr>
          <w:p w14:paraId="25F3FA64"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2</w:t>
            </w:r>
            <w:r>
              <w:rPr>
                <w:rFonts w:asciiTheme="minorEastAsia" w:hAnsiTheme="minorEastAsia" w:cs="Times New Roman"/>
              </w:rPr>
              <w:t>：具备车站接发列车、车站作业计划编制、货物列车编组计划编制、列车运行图编制与通过能力计算、技术计划编制、车流调整及列车运行调整的基本技能，并能利用相关理论进行方案优化与比选；</w:t>
            </w:r>
          </w:p>
        </w:tc>
        <w:tc>
          <w:tcPr>
            <w:tcW w:w="1770" w:type="dxa"/>
          </w:tcPr>
          <w:p w14:paraId="1BD99E47"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2.4</w:t>
            </w:r>
            <w:r>
              <w:rPr>
                <w:rFonts w:asciiTheme="minorEastAsia" w:hAnsiTheme="minorEastAsia" w:cs="Times New Roman"/>
              </w:rPr>
              <w:t>能够将数学、自然科学、工程基础和专业知识用于交通运输复杂工程问题解决方案的比选与综合</w:t>
            </w:r>
          </w:p>
        </w:tc>
        <w:tc>
          <w:tcPr>
            <w:tcW w:w="3146" w:type="dxa"/>
          </w:tcPr>
          <w:p w14:paraId="0699DC5E"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2</w:t>
            </w:r>
            <w:r>
              <w:rPr>
                <w:rFonts w:asciiTheme="minorEastAsia" w:hAnsiTheme="minorEastAsia" w:cs="Times New Roman"/>
              </w:rPr>
              <w:t>工程知识：能够将数学、自然科学、专业理论基础和技术知识用于解决交通运输领域的规划设计、运输组织等复杂工程问题</w:t>
            </w:r>
          </w:p>
        </w:tc>
      </w:tr>
      <w:tr w:rsidR="00050759" w14:paraId="121B1416" w14:textId="77777777">
        <w:tc>
          <w:tcPr>
            <w:tcW w:w="535" w:type="dxa"/>
            <w:vAlign w:val="center"/>
          </w:tcPr>
          <w:p w14:paraId="58E6C1AC"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3</w:t>
            </w:r>
          </w:p>
        </w:tc>
        <w:tc>
          <w:tcPr>
            <w:tcW w:w="2851" w:type="dxa"/>
          </w:tcPr>
          <w:p w14:paraId="27A0DA19"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3</w:t>
            </w:r>
            <w:r>
              <w:rPr>
                <w:rFonts w:asciiTheme="minorEastAsia" w:hAnsiTheme="minorEastAsia" w:cs="Times New Roman"/>
              </w:rPr>
              <w:t>：能够认识到铁路运输计划编制、能力加强、组织指挥等复杂问题解决方案的多样性、差异性、系统性，具有创新意识并能够运用</w:t>
            </w:r>
            <w:r>
              <w:rPr>
                <w:rFonts w:asciiTheme="minorEastAsia" w:hAnsiTheme="minorEastAsia" w:cs="Times New Roman"/>
              </w:rPr>
              <w:t>相关基础理论和专业知识提出和设计替代解决方案；</w:t>
            </w:r>
          </w:p>
        </w:tc>
        <w:tc>
          <w:tcPr>
            <w:tcW w:w="1770" w:type="dxa"/>
          </w:tcPr>
          <w:p w14:paraId="60DBB929"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3.3</w:t>
            </w:r>
            <w:r>
              <w:rPr>
                <w:rFonts w:asciiTheme="minorEastAsia" w:hAnsiTheme="minorEastAsia" w:cs="Times New Roman"/>
              </w:rPr>
              <w:t>能够认识到解决交通运输复杂工程问题有多种方案可选择，会通过文献研究找到可替代解决方案</w:t>
            </w:r>
          </w:p>
        </w:tc>
        <w:tc>
          <w:tcPr>
            <w:tcW w:w="3146" w:type="dxa"/>
          </w:tcPr>
          <w:p w14:paraId="685B500E"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3</w:t>
            </w:r>
            <w:r>
              <w:rPr>
                <w:rFonts w:asciiTheme="minorEastAsia" w:hAnsiTheme="minorEastAsia" w:cs="Times New Roman"/>
              </w:rPr>
              <w:t>问题分析：能够应用数学、自然科学和交通运输工程学科的基本原理识别、表达交通运输规划设计、运输组织等问题，并通过文献研究对具体的交通运输复杂工程问题进行分析，以获得有效结论</w:t>
            </w:r>
          </w:p>
        </w:tc>
      </w:tr>
      <w:tr w:rsidR="00050759" w14:paraId="64166FDC" w14:textId="77777777">
        <w:tc>
          <w:tcPr>
            <w:tcW w:w="535" w:type="dxa"/>
            <w:vAlign w:val="center"/>
          </w:tcPr>
          <w:p w14:paraId="33DE5228"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4</w:t>
            </w:r>
          </w:p>
        </w:tc>
        <w:tc>
          <w:tcPr>
            <w:tcW w:w="2851" w:type="dxa"/>
          </w:tcPr>
          <w:p w14:paraId="73028AEA"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4</w:t>
            </w:r>
            <w:r>
              <w:rPr>
                <w:rFonts w:asciiTheme="minorEastAsia" w:hAnsiTheme="minorEastAsia" w:cs="Times New Roman"/>
              </w:rPr>
              <w:t>：全面了解铁路客货运输生产全过程，深刻认识铁路行车组织各环节各工种的作业过程与相互联系，准确把握影响铁路运输生产目标和组织方案的各项因素，形成解决铁路行车组织复杂工程问题的整体能力和系统</w:t>
            </w:r>
            <w:r>
              <w:rPr>
                <w:rFonts w:asciiTheme="minorEastAsia" w:hAnsiTheme="minorEastAsia" w:cs="Times New Roman"/>
              </w:rPr>
              <w:t>思想；</w:t>
            </w:r>
          </w:p>
        </w:tc>
        <w:tc>
          <w:tcPr>
            <w:tcW w:w="1770" w:type="dxa"/>
          </w:tcPr>
          <w:p w14:paraId="439830AA"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 xml:space="preserve">4.1 </w:t>
            </w:r>
            <w:r>
              <w:rPr>
                <w:rFonts w:asciiTheme="minorEastAsia" w:hAnsiTheme="minorEastAsia" w:cs="Times New Roman"/>
              </w:rPr>
              <w:t>掌握交通运输专业工程设计和产品开发全周期、全流程的基本设计</w:t>
            </w:r>
            <w:r>
              <w:rPr>
                <w:rFonts w:asciiTheme="minorEastAsia" w:hAnsiTheme="minorEastAsia" w:cs="Times New Roman"/>
              </w:rPr>
              <w:t>/</w:t>
            </w:r>
            <w:r>
              <w:rPr>
                <w:rFonts w:asciiTheme="minorEastAsia" w:hAnsiTheme="minorEastAsia" w:cs="Times New Roman"/>
              </w:rPr>
              <w:t>开发方法和技术，了解影响设计目标和技术方案的各种因素</w:t>
            </w:r>
          </w:p>
        </w:tc>
        <w:tc>
          <w:tcPr>
            <w:tcW w:w="3146" w:type="dxa"/>
          </w:tcPr>
          <w:p w14:paraId="408FB4C3"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4</w:t>
            </w:r>
            <w:r>
              <w:rPr>
                <w:rFonts w:asciiTheme="minorEastAsia" w:hAnsiTheme="minorEastAsia" w:cs="Times New Roman"/>
              </w:rPr>
              <w:t>设计</w:t>
            </w:r>
            <w:r>
              <w:rPr>
                <w:rFonts w:asciiTheme="minorEastAsia" w:hAnsiTheme="minorEastAsia" w:cs="Times New Roman"/>
              </w:rPr>
              <w:t>/</w:t>
            </w:r>
            <w:r>
              <w:rPr>
                <w:rFonts w:asciiTheme="minorEastAsia" w:hAnsiTheme="minorEastAsia" w:cs="Times New Roman"/>
              </w:rPr>
              <w:t>开发解决方案：能够针对交通运输专业领域复杂工程问题，设计满足特定行车、客运、货运要求和流程的解决方案，并能在设计过程中考虑社会、健康、安全、法律、文化以及环境等因素，体现创新意识。</w:t>
            </w:r>
          </w:p>
        </w:tc>
      </w:tr>
      <w:tr w:rsidR="00050759" w14:paraId="2139D39B" w14:textId="77777777">
        <w:tc>
          <w:tcPr>
            <w:tcW w:w="535" w:type="dxa"/>
            <w:vAlign w:val="center"/>
          </w:tcPr>
          <w:p w14:paraId="4BCE2EA7"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5</w:t>
            </w:r>
          </w:p>
        </w:tc>
        <w:tc>
          <w:tcPr>
            <w:tcW w:w="2851" w:type="dxa"/>
          </w:tcPr>
          <w:p w14:paraId="3FE08D71"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5</w:t>
            </w:r>
            <w:r>
              <w:rPr>
                <w:rFonts w:asciiTheme="minorEastAsia" w:hAnsiTheme="minorEastAsia" w:cs="Times New Roman"/>
              </w:rPr>
              <w:t>：全面了解铁路行车组织、客货运相关领域的发展过程与趋势、研究热点，并能够就该领域中复杂工程问题与业界同行及社会公众进行有效沟通和交流；</w:t>
            </w:r>
          </w:p>
        </w:tc>
        <w:tc>
          <w:tcPr>
            <w:tcW w:w="1770" w:type="dxa"/>
          </w:tcPr>
          <w:p w14:paraId="249EFA8D"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11.2</w:t>
            </w:r>
            <w:r>
              <w:rPr>
                <w:rFonts w:asciiTheme="minorEastAsia" w:hAnsiTheme="minorEastAsia" w:cs="Times New Roman"/>
              </w:rPr>
              <w:t>了解交通运输专业领域的国际发展趋势、研究热点，理解和尊重世界不同交通运输系统的差异性和多样性</w:t>
            </w:r>
          </w:p>
        </w:tc>
        <w:tc>
          <w:tcPr>
            <w:tcW w:w="3146" w:type="dxa"/>
          </w:tcPr>
          <w:p w14:paraId="01FEA62E"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11</w:t>
            </w:r>
            <w:r>
              <w:rPr>
                <w:rFonts w:asciiTheme="minorEastAsia" w:hAnsiTheme="minorEastAsia" w:cs="Times New Roman"/>
              </w:rPr>
              <w:t>沟通：能够就交通运输规划设计、行车组织、客运货运等领域中复杂工程问题与业界同行及社会公众进行有效沟通和交流，包括撰写报告和设计文稿、陈述发言、清晰表达或回应指令。并具备一定国际视野，能够在跨文化背景下进行沟通和交流</w:t>
            </w:r>
          </w:p>
        </w:tc>
      </w:tr>
      <w:tr w:rsidR="00050759" w14:paraId="1B14ACE6" w14:textId="77777777">
        <w:tc>
          <w:tcPr>
            <w:tcW w:w="535" w:type="dxa"/>
            <w:vAlign w:val="center"/>
          </w:tcPr>
          <w:p w14:paraId="4277B12F"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6</w:t>
            </w:r>
          </w:p>
        </w:tc>
        <w:tc>
          <w:tcPr>
            <w:tcW w:w="2851" w:type="dxa"/>
          </w:tcPr>
          <w:p w14:paraId="04D53AAF"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6</w:t>
            </w:r>
            <w:r>
              <w:rPr>
                <w:rFonts w:asciiTheme="minorEastAsia" w:hAnsiTheme="minorEastAsia" w:cs="Times New Roman"/>
              </w:rPr>
              <w:t>：了解并掌握车站作业组织、列车编组计</w:t>
            </w:r>
            <w:r>
              <w:rPr>
                <w:rFonts w:asciiTheme="minorEastAsia" w:hAnsiTheme="minorEastAsia" w:cs="Times New Roman"/>
              </w:rPr>
              <w:t>划、列车开行方案及运行图、通过能力加强、货物运输生产计划及日常运输调整等运输组织活动中的经济要素与成本构成特点，并能在方案决策中加以运用；</w:t>
            </w:r>
          </w:p>
        </w:tc>
        <w:tc>
          <w:tcPr>
            <w:tcW w:w="1770" w:type="dxa"/>
          </w:tcPr>
          <w:p w14:paraId="0339008D"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12.2</w:t>
            </w:r>
            <w:r>
              <w:rPr>
                <w:rFonts w:asciiTheme="minorEastAsia" w:hAnsiTheme="minorEastAsia" w:cs="Times New Roman"/>
              </w:rPr>
              <w:t>了解规划设计、运输组织方案、交通运输产品全周期、全流程的成本构成，理解其中涉及的管理与经济决策问题</w:t>
            </w:r>
          </w:p>
        </w:tc>
        <w:tc>
          <w:tcPr>
            <w:tcW w:w="3146" w:type="dxa"/>
          </w:tcPr>
          <w:p w14:paraId="3CD6E4CF"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12</w:t>
            </w:r>
            <w:r>
              <w:rPr>
                <w:rFonts w:asciiTheme="minorEastAsia" w:hAnsiTheme="minorEastAsia" w:cs="Times New Roman"/>
              </w:rPr>
              <w:t>项目管理：理解并掌握交通运输行业的管理原理与经济决策方法，并能在多学科环境中应用</w:t>
            </w:r>
          </w:p>
        </w:tc>
      </w:tr>
      <w:tr w:rsidR="00050759" w14:paraId="23605D84" w14:textId="77777777">
        <w:tc>
          <w:tcPr>
            <w:tcW w:w="535" w:type="dxa"/>
            <w:vAlign w:val="center"/>
          </w:tcPr>
          <w:p w14:paraId="0339B9EB" w14:textId="77777777" w:rsidR="00050759" w:rsidRDefault="0064082D">
            <w:pPr>
              <w:adjustRightInd w:val="0"/>
              <w:snapToGrid w:val="0"/>
              <w:jc w:val="center"/>
              <w:rPr>
                <w:rFonts w:asciiTheme="minorEastAsia" w:hAnsiTheme="minorEastAsia" w:cs="Times New Roman"/>
              </w:rPr>
            </w:pPr>
            <w:r>
              <w:rPr>
                <w:rFonts w:asciiTheme="minorEastAsia" w:hAnsiTheme="minorEastAsia" w:cs="Times New Roman"/>
              </w:rPr>
              <w:t>7</w:t>
            </w:r>
          </w:p>
        </w:tc>
        <w:tc>
          <w:tcPr>
            <w:tcW w:w="2851" w:type="dxa"/>
          </w:tcPr>
          <w:p w14:paraId="589E0EFD"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目标</w:t>
            </w:r>
            <w:r>
              <w:rPr>
                <w:rFonts w:asciiTheme="minorEastAsia" w:hAnsiTheme="minorEastAsia" w:cs="Times New Roman"/>
              </w:rPr>
              <w:t>7</w:t>
            </w:r>
            <w:r>
              <w:rPr>
                <w:rFonts w:asciiTheme="minorEastAsia" w:hAnsiTheme="minorEastAsia" w:cs="Times New Roman"/>
              </w:rPr>
              <w:t>：热爱祖国、爱岗敬业、具有广阔的国际视野，突出的创新意识以及作为铁路人的社会责任感，具有交通运输工程师的职业道德，适应新时代社会主义现代化建设和交通运输行业发展需求</w:t>
            </w:r>
          </w:p>
        </w:tc>
        <w:tc>
          <w:tcPr>
            <w:tcW w:w="1770" w:type="dxa"/>
          </w:tcPr>
          <w:p w14:paraId="42B1D69B"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11.2</w:t>
            </w:r>
            <w:r>
              <w:rPr>
                <w:rFonts w:asciiTheme="minorEastAsia" w:hAnsiTheme="minorEastAsia" w:cs="Times New Roman"/>
              </w:rPr>
              <w:t>了解交通运输专业领域的国际发展趋势、研究热点，理解和尊重世界不同交通运输系统的差异性和多样性</w:t>
            </w:r>
          </w:p>
        </w:tc>
        <w:tc>
          <w:tcPr>
            <w:tcW w:w="3146" w:type="dxa"/>
          </w:tcPr>
          <w:p w14:paraId="3B82C8DB" w14:textId="77777777" w:rsidR="00050759" w:rsidRDefault="0064082D">
            <w:pPr>
              <w:adjustRightInd w:val="0"/>
              <w:snapToGrid w:val="0"/>
              <w:rPr>
                <w:rFonts w:asciiTheme="minorEastAsia" w:hAnsiTheme="minorEastAsia" w:cs="Times New Roman"/>
              </w:rPr>
            </w:pPr>
            <w:r>
              <w:rPr>
                <w:rFonts w:asciiTheme="minorEastAsia" w:hAnsiTheme="minorEastAsia" w:cs="Times New Roman"/>
              </w:rPr>
              <w:t>11</w:t>
            </w:r>
            <w:r>
              <w:rPr>
                <w:rFonts w:asciiTheme="minorEastAsia" w:hAnsiTheme="minorEastAsia" w:cs="Times New Roman"/>
              </w:rPr>
              <w:t>沟通：能够就交通运输规划设计、行车组织、客运货运等领域中复杂工程问题与业界同行及社会公众进行有效沟通和交流，包括撰写报告和设计文稿、陈述发言、清晰表达或回应指令。并具备一定国际视野，能够在跨文化背景下进行沟通和交流</w:t>
            </w:r>
          </w:p>
        </w:tc>
      </w:tr>
    </w:tbl>
    <w:p w14:paraId="42F05045" w14:textId="77777777" w:rsidR="00050759" w:rsidRDefault="00050759">
      <w:pPr>
        <w:adjustRightInd w:val="0"/>
        <w:snapToGrid w:val="0"/>
        <w:rPr>
          <w:rFonts w:ascii="Times New Roman" w:hAnsi="Times New Roman" w:cs="Times New Roman"/>
        </w:rPr>
      </w:pPr>
    </w:p>
    <w:p w14:paraId="18442D34" w14:textId="77777777" w:rsidR="00050759" w:rsidRDefault="0064082D">
      <w:pPr>
        <w:pStyle w:val="1"/>
        <w:spacing w:beforeLines="75" w:before="234" w:afterLines="25" w:after="78"/>
        <w:rPr>
          <w:rFonts w:ascii="Times New Roman" w:hAnsi="Times New Roman" w:cs="Times New Roman"/>
          <w:szCs w:val="24"/>
        </w:rPr>
      </w:pPr>
      <w:r>
        <w:rPr>
          <w:rFonts w:ascii="Times New Roman" w:hAnsi="Times New Roman" w:cs="Times New Roman" w:hint="eastAsia"/>
          <w:szCs w:val="24"/>
        </w:rPr>
        <w:t>四、</w:t>
      </w:r>
      <w:r>
        <w:rPr>
          <w:rFonts w:ascii="Times New Roman" w:hAnsi="Times New Roman" w:cs="Times New Roman"/>
          <w:szCs w:val="24"/>
        </w:rPr>
        <w:t>教学内容与教学策略</w:t>
      </w:r>
    </w:p>
    <w:p w14:paraId="0A86D7F8"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课程的教学内容与教学策略应加强课程思政，支持教学目标达成，为学生建立深层次学习环境。具体要求如下：</w:t>
      </w:r>
    </w:p>
    <w:p w14:paraId="721801C8"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课程教学内容应与教学目标相对应，注重课程思政的建设，深度广度适当，能够反应学科领域最新发展。教学内容与教学目标的对应关系，如表</w:t>
      </w:r>
      <w:r>
        <w:rPr>
          <w:rFonts w:ascii="Times New Roman" w:hAnsi="Times New Roman" w:cs="Times New Roman"/>
          <w:sz w:val="24"/>
          <w:szCs w:val="24"/>
        </w:rPr>
        <w:t>2</w:t>
      </w:r>
      <w:r>
        <w:rPr>
          <w:rFonts w:ascii="Times New Roman" w:hAnsi="Times New Roman" w:cs="Times New Roman"/>
          <w:sz w:val="24"/>
          <w:szCs w:val="24"/>
        </w:rPr>
        <w:t>所示。</w:t>
      </w:r>
    </w:p>
    <w:p w14:paraId="1E095ACE"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课程知识点要清楚，且各知识点之间具有清晰的逻辑结构。</w:t>
      </w:r>
    </w:p>
    <w:p w14:paraId="67ED6222"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课程知识点应紧密围绕铁路货物运输生产过程及其特点，讨论从货流</w:t>
      </w:r>
      <w:r>
        <w:rPr>
          <w:rFonts w:ascii="Times New Roman" w:hAnsi="Times New Roman" w:cs="Times New Roman"/>
          <w:sz w:val="24"/>
          <w:szCs w:val="24"/>
        </w:rPr>
        <w:t>→</w:t>
      </w:r>
      <w:r>
        <w:rPr>
          <w:rFonts w:ascii="Times New Roman" w:hAnsi="Times New Roman" w:cs="Times New Roman"/>
          <w:sz w:val="24"/>
          <w:szCs w:val="24"/>
        </w:rPr>
        <w:t>车流</w:t>
      </w:r>
      <w:r>
        <w:rPr>
          <w:rFonts w:ascii="Times New Roman" w:hAnsi="Times New Roman" w:cs="Times New Roman"/>
          <w:sz w:val="24"/>
          <w:szCs w:val="24"/>
        </w:rPr>
        <w:t>→</w:t>
      </w:r>
      <w:r>
        <w:rPr>
          <w:rFonts w:ascii="Times New Roman" w:hAnsi="Times New Roman" w:cs="Times New Roman"/>
          <w:sz w:val="24"/>
          <w:szCs w:val="24"/>
        </w:rPr>
        <w:t>列流</w:t>
      </w:r>
      <w:r>
        <w:rPr>
          <w:rFonts w:ascii="Times New Roman" w:hAnsi="Times New Roman" w:cs="Times New Roman"/>
          <w:sz w:val="24"/>
          <w:szCs w:val="24"/>
        </w:rPr>
        <w:t>→</w:t>
      </w:r>
      <w:r>
        <w:rPr>
          <w:rFonts w:ascii="Times New Roman" w:hAnsi="Times New Roman" w:cs="Times New Roman"/>
          <w:sz w:val="24"/>
          <w:szCs w:val="24"/>
        </w:rPr>
        <w:t>组流上线的全过程中如何合理的运用各项技术设备和科学的生产管理办法，科学合理的组织铁路运输生产活动。</w:t>
      </w:r>
    </w:p>
    <w:p w14:paraId="18DA8F44"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同时，应建立与其他专业基础课、专业核心课之间的联系，帮助学生在铁路运输组织与管理领域形成系统的知识体系。</w:t>
      </w:r>
    </w:p>
    <w:p w14:paraId="13B6E02C"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教学过程中要能够不断激发学生的学习兴趣，不断激励学生，激发学生学习潜力，从认知、技能、情意三个层面引导学生进入深层次学习，有效达成教学目标。本课程</w:t>
      </w:r>
      <w:r>
        <w:rPr>
          <w:rFonts w:ascii="Times New Roman" w:hAnsi="Times New Roman" w:cs="Times New Roman" w:hint="eastAsia"/>
          <w:sz w:val="24"/>
          <w:szCs w:val="24"/>
        </w:rPr>
        <w:t>教学目标主要包含</w:t>
      </w:r>
      <w:r>
        <w:rPr>
          <w:rFonts w:ascii="Times New Roman" w:hAnsi="Times New Roman" w:cs="Times New Roman"/>
          <w:sz w:val="24"/>
          <w:szCs w:val="24"/>
        </w:rPr>
        <w:t>认知、技能、情意三个层面</w:t>
      </w:r>
      <w:r>
        <w:rPr>
          <w:rFonts w:ascii="Times New Roman" w:hAnsi="Times New Roman" w:cs="Times New Roman" w:hint="eastAsia"/>
          <w:sz w:val="24"/>
          <w:szCs w:val="24"/>
        </w:rPr>
        <w:t>的内容，</w:t>
      </w:r>
      <w:r>
        <w:rPr>
          <w:rFonts w:ascii="Times New Roman" w:hAnsi="Times New Roman" w:cs="Times New Roman"/>
          <w:sz w:val="24"/>
          <w:szCs w:val="24"/>
        </w:rPr>
        <w:t>与《西南交通大学本科教学质量保障</w:t>
      </w:r>
      <w:r>
        <w:rPr>
          <w:rFonts w:ascii="Times New Roman" w:hAnsi="Times New Roman" w:cs="Times New Roman"/>
          <w:sz w:val="24"/>
          <w:szCs w:val="24"/>
        </w:rPr>
        <w:t>工作手册》中的本科课程教学目标分类相对应。</w:t>
      </w:r>
    </w:p>
    <w:p w14:paraId="69C2C1DD"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课程具体</w:t>
      </w:r>
      <w:r>
        <w:rPr>
          <w:rFonts w:ascii="Times New Roman" w:hAnsi="Times New Roman" w:cs="Times New Roman"/>
          <w:sz w:val="24"/>
          <w:szCs w:val="24"/>
        </w:rPr>
        <w:t>课时安排及教学目标、思政目标、教学内容如表</w:t>
      </w:r>
      <w:r>
        <w:rPr>
          <w:rFonts w:ascii="Times New Roman" w:hAnsi="Times New Roman" w:cs="Times New Roman"/>
          <w:sz w:val="24"/>
          <w:szCs w:val="24"/>
        </w:rPr>
        <w:t>2</w:t>
      </w:r>
      <w:r>
        <w:rPr>
          <w:rFonts w:ascii="Times New Roman" w:hAnsi="Times New Roman" w:cs="Times New Roman"/>
          <w:sz w:val="24"/>
          <w:szCs w:val="24"/>
        </w:rPr>
        <w:t>所示。</w:t>
      </w:r>
    </w:p>
    <w:p w14:paraId="6F9418DE" w14:textId="77777777" w:rsidR="00050759" w:rsidRDefault="00050759">
      <w:pPr>
        <w:adjustRightInd w:val="0"/>
        <w:snapToGrid w:val="0"/>
        <w:spacing w:line="360" w:lineRule="auto"/>
        <w:ind w:firstLineChars="200" w:firstLine="420"/>
        <w:rPr>
          <w:rFonts w:ascii="Times New Roman" w:hAnsi="Times New Roman" w:cs="Times New Roman"/>
        </w:rPr>
        <w:sectPr w:rsidR="00050759">
          <w:pgSz w:w="11906" w:h="16838"/>
          <w:pgMar w:top="1440" w:right="1797" w:bottom="1440" w:left="1797" w:header="851" w:footer="992" w:gutter="0"/>
          <w:cols w:space="425"/>
          <w:docGrid w:type="linesAndChars" w:linePitch="312"/>
        </w:sectPr>
      </w:pPr>
    </w:p>
    <w:p w14:paraId="1F8AF7D5" w14:textId="77777777" w:rsidR="00050759" w:rsidRDefault="0064082D">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szCs w:val="21"/>
        </w:rPr>
        <w:t xml:space="preserve">2  </w:t>
      </w:r>
      <w:r>
        <w:rPr>
          <w:rFonts w:ascii="Times New Roman" w:hAnsi="Times New Roman" w:cs="Times New Roman"/>
          <w:szCs w:val="21"/>
        </w:rPr>
        <w:t>课时安排及教学目标、思政目标、教学内容</w:t>
      </w:r>
    </w:p>
    <w:tbl>
      <w:tblPr>
        <w:tblStyle w:val="a9"/>
        <w:tblW w:w="5000" w:type="pct"/>
        <w:jc w:val="center"/>
        <w:tblLook w:val="04A0" w:firstRow="1" w:lastRow="0" w:firstColumn="1" w:lastColumn="0" w:noHBand="0" w:noVBand="1"/>
      </w:tblPr>
      <w:tblGrid>
        <w:gridCol w:w="563"/>
        <w:gridCol w:w="2960"/>
        <w:gridCol w:w="1548"/>
        <w:gridCol w:w="5214"/>
        <w:gridCol w:w="2536"/>
        <w:gridCol w:w="1127"/>
      </w:tblGrid>
      <w:tr w:rsidR="00050759" w14:paraId="0643EF72" w14:textId="77777777">
        <w:trPr>
          <w:jc w:val="center"/>
        </w:trPr>
        <w:tc>
          <w:tcPr>
            <w:tcW w:w="202" w:type="pct"/>
            <w:vAlign w:val="center"/>
          </w:tcPr>
          <w:p w14:paraId="31527189"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课次</w:t>
            </w:r>
          </w:p>
        </w:tc>
        <w:tc>
          <w:tcPr>
            <w:tcW w:w="1061" w:type="pct"/>
            <w:vAlign w:val="center"/>
          </w:tcPr>
          <w:p w14:paraId="42DA4F5D"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利用</w:t>
            </w:r>
            <w:r>
              <w:rPr>
                <w:rFonts w:ascii="宋体" w:eastAsia="宋体" w:hAnsi="宋体" w:cs="Times New Roman"/>
                <w:szCs w:val="21"/>
              </w:rPr>
              <w:t>SPOC</w:t>
            </w:r>
            <w:r>
              <w:rPr>
                <w:rFonts w:ascii="宋体" w:eastAsia="宋体" w:hAnsi="宋体" w:cs="Times New Roman"/>
                <w:szCs w:val="21"/>
              </w:rPr>
              <w:t>平台进行线上学习内容</w:t>
            </w:r>
          </w:p>
        </w:tc>
        <w:tc>
          <w:tcPr>
            <w:tcW w:w="555" w:type="pct"/>
          </w:tcPr>
          <w:p w14:paraId="4C237E46"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利用课堂讲解重难知识点</w:t>
            </w:r>
          </w:p>
        </w:tc>
        <w:tc>
          <w:tcPr>
            <w:tcW w:w="1869" w:type="pct"/>
            <w:vAlign w:val="center"/>
          </w:tcPr>
          <w:p w14:paraId="08B014F5"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教学目标</w:t>
            </w:r>
          </w:p>
        </w:tc>
        <w:tc>
          <w:tcPr>
            <w:tcW w:w="909" w:type="pct"/>
            <w:vAlign w:val="center"/>
          </w:tcPr>
          <w:p w14:paraId="6620A017"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思政元素融入</w:t>
            </w:r>
          </w:p>
        </w:tc>
        <w:tc>
          <w:tcPr>
            <w:tcW w:w="404" w:type="pct"/>
            <w:vAlign w:val="center"/>
          </w:tcPr>
          <w:p w14:paraId="0CAA8F31"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支撑课程目标</w:t>
            </w:r>
          </w:p>
        </w:tc>
      </w:tr>
      <w:tr w:rsidR="00050759" w14:paraId="50E5DEC3" w14:textId="77777777">
        <w:trPr>
          <w:jc w:val="center"/>
        </w:trPr>
        <w:tc>
          <w:tcPr>
            <w:tcW w:w="202" w:type="pct"/>
            <w:vAlign w:val="center"/>
          </w:tcPr>
          <w:p w14:paraId="77459511"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1</w:t>
            </w:r>
          </w:p>
        </w:tc>
        <w:tc>
          <w:tcPr>
            <w:tcW w:w="1061" w:type="pct"/>
            <w:vAlign w:val="center"/>
          </w:tcPr>
          <w:p w14:paraId="4374B74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绪论：</w:t>
            </w:r>
          </w:p>
          <w:p w14:paraId="6FA7A2E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课程的内容和特点</w:t>
            </w:r>
          </w:p>
          <w:p w14:paraId="0D21C47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szCs w:val="21"/>
              </w:rPr>
              <w:t>铁路运输的技术经济特征</w:t>
            </w:r>
          </w:p>
          <w:p w14:paraId="637B2B4C"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szCs w:val="21"/>
              </w:rPr>
              <w:t>铁路运输生产过程</w:t>
            </w:r>
          </w:p>
          <w:p w14:paraId="0738FE8B"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铁路运输采用的科学生产管理办法</w:t>
            </w:r>
          </w:p>
        </w:tc>
        <w:tc>
          <w:tcPr>
            <w:tcW w:w="555" w:type="pct"/>
          </w:tcPr>
          <w:p w14:paraId="3089DE9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铁路运输生产过程</w:t>
            </w:r>
          </w:p>
          <w:p w14:paraId="342DBE6B"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szCs w:val="21"/>
              </w:rPr>
              <w:t>铁路运输采用的科学生产管理办法</w:t>
            </w:r>
          </w:p>
        </w:tc>
        <w:tc>
          <w:tcPr>
            <w:tcW w:w="1869" w:type="pct"/>
            <w:vAlign w:val="center"/>
          </w:tcPr>
          <w:p w14:paraId="59EEEE1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能列举行车组织的研究内容，能讲述铁路运输的技术经济特征，能描述铁路运输生产过程中采用的科学生产管理办法；</w:t>
            </w:r>
          </w:p>
          <w:p w14:paraId="3E31567A"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能图示整个铁路运输生产过程；</w:t>
            </w:r>
          </w:p>
          <w:p w14:paraId="05CF69E7"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b/>
                <w:bCs/>
                <w:szCs w:val="21"/>
              </w:rPr>
              <w:t>情意领域：</w:t>
            </w:r>
            <w:r>
              <w:rPr>
                <w:rFonts w:ascii="宋体" w:eastAsia="宋体" w:hAnsi="宋体" w:cs="Times New Roman"/>
                <w:szCs w:val="21"/>
              </w:rPr>
              <w:t>能建立铁路运输是一项各专业各环节协调运作、密切配合的生产活动的思想意识。</w:t>
            </w:r>
          </w:p>
        </w:tc>
        <w:tc>
          <w:tcPr>
            <w:tcW w:w="909" w:type="pct"/>
            <w:vMerge w:val="restart"/>
          </w:tcPr>
          <w:p w14:paraId="011E85C2"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用系统的思想讲述，融入全局意识和铁路人的社会责任</w:t>
            </w:r>
          </w:p>
        </w:tc>
        <w:tc>
          <w:tcPr>
            <w:tcW w:w="404" w:type="pct"/>
            <w:vAlign w:val="center"/>
          </w:tcPr>
          <w:p w14:paraId="0AFE17DB"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4</w:t>
            </w:r>
            <w:r>
              <w:rPr>
                <w:rFonts w:ascii="宋体" w:eastAsia="宋体" w:hAnsi="宋体" w:cs="Times New Roman"/>
                <w:szCs w:val="21"/>
              </w:rPr>
              <w:t>、</w:t>
            </w:r>
            <w:r>
              <w:rPr>
                <w:rFonts w:ascii="宋体" w:eastAsia="宋体" w:hAnsi="宋体" w:cs="Times New Roman"/>
                <w:szCs w:val="21"/>
              </w:rPr>
              <w:t>7</w:t>
            </w:r>
          </w:p>
        </w:tc>
      </w:tr>
      <w:tr w:rsidR="00050759" w14:paraId="75C9E41C" w14:textId="77777777">
        <w:trPr>
          <w:jc w:val="center"/>
        </w:trPr>
        <w:tc>
          <w:tcPr>
            <w:tcW w:w="202" w:type="pct"/>
            <w:vAlign w:val="center"/>
          </w:tcPr>
          <w:p w14:paraId="1D9FB8A5"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2</w:t>
            </w:r>
          </w:p>
        </w:tc>
        <w:tc>
          <w:tcPr>
            <w:tcW w:w="1061" w:type="pct"/>
            <w:vAlign w:val="center"/>
          </w:tcPr>
          <w:p w14:paraId="137B4CF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绪论：</w:t>
            </w:r>
          </w:p>
          <w:p w14:paraId="7C453E7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铁路运输的发展</w:t>
            </w:r>
          </w:p>
          <w:p w14:paraId="077AD3D9"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2)</w:t>
            </w:r>
            <w:r>
              <w:rPr>
                <w:rFonts w:ascii="宋体" w:eastAsia="宋体" w:hAnsi="宋体" w:cs="Times New Roman"/>
                <w:szCs w:val="21"/>
              </w:rPr>
              <w:t>我国铁路的现状及所面临和需解决的问题</w:t>
            </w:r>
          </w:p>
        </w:tc>
        <w:tc>
          <w:tcPr>
            <w:tcW w:w="555" w:type="pct"/>
          </w:tcPr>
          <w:p w14:paraId="0E1DD353"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我国铁路所面临和需解决的问题</w:t>
            </w:r>
          </w:p>
        </w:tc>
        <w:tc>
          <w:tcPr>
            <w:tcW w:w="1869" w:type="pct"/>
            <w:vAlign w:val="center"/>
          </w:tcPr>
          <w:p w14:paraId="2940C01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能提取铁路运输方式的发展阶段、特点及优越性；</w:t>
            </w:r>
          </w:p>
          <w:p w14:paraId="34150665"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b/>
                <w:bCs/>
                <w:szCs w:val="21"/>
              </w:rPr>
              <w:t>情意领域：</w:t>
            </w:r>
            <w:r>
              <w:rPr>
                <w:rFonts w:ascii="宋体" w:eastAsia="宋体" w:hAnsi="宋体" w:cs="Times New Roman"/>
                <w:szCs w:val="21"/>
              </w:rPr>
              <w:t>可以展望铁路运输未来的发展，树立行业自信、文化自信。</w:t>
            </w:r>
          </w:p>
        </w:tc>
        <w:tc>
          <w:tcPr>
            <w:tcW w:w="909" w:type="pct"/>
            <w:vMerge/>
            <w:vAlign w:val="center"/>
          </w:tcPr>
          <w:p w14:paraId="25A32FB4" w14:textId="77777777" w:rsidR="00050759" w:rsidRDefault="00050759">
            <w:pPr>
              <w:adjustRightInd w:val="0"/>
              <w:snapToGrid w:val="0"/>
              <w:jc w:val="left"/>
              <w:rPr>
                <w:rFonts w:ascii="Times New Roman" w:hAnsi="Times New Roman" w:cs="Times New Roman"/>
                <w:szCs w:val="21"/>
              </w:rPr>
            </w:pPr>
          </w:p>
        </w:tc>
        <w:tc>
          <w:tcPr>
            <w:tcW w:w="404" w:type="pct"/>
            <w:vAlign w:val="center"/>
          </w:tcPr>
          <w:p w14:paraId="0069CC29"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目标</w:t>
            </w:r>
            <w:r>
              <w:rPr>
                <w:rFonts w:ascii="宋体" w:eastAsia="宋体" w:hAnsi="宋体" w:cs="Times New Roman"/>
                <w:szCs w:val="21"/>
              </w:rPr>
              <w:t>5</w:t>
            </w:r>
            <w:r>
              <w:rPr>
                <w:rFonts w:ascii="宋体" w:eastAsia="宋体" w:hAnsi="宋体" w:cs="Times New Roman"/>
                <w:szCs w:val="21"/>
              </w:rPr>
              <w:t>、</w:t>
            </w:r>
            <w:r>
              <w:rPr>
                <w:rFonts w:ascii="宋体" w:eastAsia="宋体" w:hAnsi="宋体" w:cs="Times New Roman"/>
                <w:szCs w:val="21"/>
              </w:rPr>
              <w:t>7</w:t>
            </w:r>
          </w:p>
        </w:tc>
      </w:tr>
      <w:tr w:rsidR="00050759" w14:paraId="14F12E2D" w14:textId="77777777">
        <w:trPr>
          <w:jc w:val="center"/>
        </w:trPr>
        <w:tc>
          <w:tcPr>
            <w:tcW w:w="202" w:type="pct"/>
            <w:vAlign w:val="center"/>
          </w:tcPr>
          <w:p w14:paraId="5D40EE3F"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3</w:t>
            </w:r>
          </w:p>
        </w:tc>
        <w:tc>
          <w:tcPr>
            <w:tcW w:w="1061" w:type="pct"/>
          </w:tcPr>
          <w:p w14:paraId="1F00DAA7"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车站概述：</w:t>
            </w:r>
          </w:p>
          <w:p w14:paraId="7ED1047E"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车站的概念及分类</w:t>
            </w:r>
          </w:p>
          <w:p w14:paraId="33A64F15"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车站的生产活动</w:t>
            </w:r>
          </w:p>
          <w:p w14:paraId="0E34B57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中间站的技术作业过程</w:t>
            </w:r>
          </w:p>
          <w:p w14:paraId="1722721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szCs w:val="21"/>
              </w:rPr>
              <w:t>技术站的技术作业过程</w:t>
            </w:r>
          </w:p>
          <w:p w14:paraId="1F7FD0B9"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hint="eastAsia"/>
                <w:szCs w:val="21"/>
              </w:rPr>
              <w:t>5</w:t>
            </w:r>
            <w:r>
              <w:rPr>
                <w:rFonts w:ascii="宋体" w:eastAsia="宋体" w:hAnsi="宋体" w:cs="Times New Roman"/>
                <w:szCs w:val="21"/>
              </w:rPr>
              <w:t>)</w:t>
            </w:r>
            <w:r>
              <w:rPr>
                <w:rFonts w:ascii="宋体" w:eastAsia="宋体" w:hAnsi="宋体" w:cs="Times New Roman"/>
                <w:szCs w:val="21"/>
              </w:rPr>
              <w:t>车站的组织管理系统</w:t>
            </w:r>
          </w:p>
        </w:tc>
        <w:tc>
          <w:tcPr>
            <w:tcW w:w="555" w:type="pct"/>
          </w:tcPr>
          <w:p w14:paraId="0577000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中间站的技术作业过程</w:t>
            </w:r>
          </w:p>
          <w:p w14:paraId="4149F16D"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szCs w:val="21"/>
              </w:rPr>
              <w:t>技术站的技术作业过程</w:t>
            </w:r>
          </w:p>
        </w:tc>
        <w:tc>
          <w:tcPr>
            <w:tcW w:w="1869" w:type="pct"/>
          </w:tcPr>
          <w:p w14:paraId="4CBFC25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能复述车站的生产活动内容，指出车站与其他分界点的异同；</w:t>
            </w:r>
          </w:p>
          <w:p w14:paraId="738FFC24"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能比较中间站与技术站的技术作业过程的异同；</w:t>
            </w:r>
          </w:p>
          <w:p w14:paraId="75C8DE2C"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b/>
                <w:bCs/>
                <w:szCs w:val="21"/>
              </w:rPr>
              <w:t>情意领域：</w:t>
            </w:r>
            <w:r>
              <w:rPr>
                <w:rFonts w:ascii="宋体" w:eastAsia="宋体" w:hAnsi="宋体" w:cs="Times New Roman"/>
                <w:szCs w:val="21"/>
              </w:rPr>
              <w:t>能形成车站组织管理的系统构架。</w:t>
            </w:r>
          </w:p>
        </w:tc>
        <w:tc>
          <w:tcPr>
            <w:tcW w:w="909" w:type="pct"/>
          </w:tcPr>
          <w:p w14:paraId="360029CF"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结合铁路统一指挥特点，强调工作中的纪律意识和自律意识。</w:t>
            </w:r>
          </w:p>
        </w:tc>
        <w:tc>
          <w:tcPr>
            <w:tcW w:w="404" w:type="pct"/>
            <w:vAlign w:val="center"/>
          </w:tcPr>
          <w:p w14:paraId="3F50AC5C"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7</w:t>
            </w:r>
          </w:p>
        </w:tc>
      </w:tr>
      <w:tr w:rsidR="00050759" w14:paraId="6EEF2403" w14:textId="77777777">
        <w:trPr>
          <w:jc w:val="center"/>
        </w:trPr>
        <w:tc>
          <w:tcPr>
            <w:tcW w:w="202" w:type="pct"/>
            <w:vAlign w:val="center"/>
          </w:tcPr>
          <w:p w14:paraId="03852548"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4</w:t>
            </w:r>
          </w:p>
        </w:tc>
        <w:tc>
          <w:tcPr>
            <w:tcW w:w="1061" w:type="pct"/>
          </w:tcPr>
          <w:p w14:paraId="25F3DFB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接发列车工作：</w:t>
            </w:r>
          </w:p>
          <w:p w14:paraId="17DA884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列车分类</w:t>
            </w:r>
          </w:p>
          <w:p w14:paraId="35AA33D4"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szCs w:val="21"/>
              </w:rPr>
              <w:t>车站接发列车工作</w:t>
            </w:r>
          </w:p>
          <w:p w14:paraId="5D931C6A"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技术站列车技术作业</w:t>
            </w:r>
          </w:p>
        </w:tc>
        <w:tc>
          <w:tcPr>
            <w:tcW w:w="555" w:type="pct"/>
          </w:tcPr>
          <w:p w14:paraId="6FB5E48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车站接发列车工作</w:t>
            </w:r>
          </w:p>
          <w:p w14:paraId="300CD69A"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2)</w:t>
            </w:r>
            <w:r>
              <w:rPr>
                <w:rFonts w:ascii="宋体" w:eastAsia="宋体" w:hAnsi="宋体" w:cs="Times New Roman"/>
                <w:szCs w:val="21"/>
              </w:rPr>
              <w:t>技术站列车技术作业</w:t>
            </w:r>
          </w:p>
        </w:tc>
        <w:tc>
          <w:tcPr>
            <w:tcW w:w="1869" w:type="pct"/>
          </w:tcPr>
          <w:p w14:paraId="77919767"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能识别不同种类的货车及列车，能解释接发列车的作业过程和程序；</w:t>
            </w:r>
          </w:p>
          <w:p w14:paraId="276A32DF"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能比较不同类型列车在技术站的作业过程的异同；</w:t>
            </w:r>
          </w:p>
          <w:p w14:paraId="302E5095"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b/>
                <w:bCs/>
                <w:szCs w:val="21"/>
              </w:rPr>
              <w:t>情意领域：</w:t>
            </w:r>
            <w:r>
              <w:rPr>
                <w:rFonts w:ascii="宋体" w:eastAsia="宋体" w:hAnsi="宋体" w:cs="Times New Roman"/>
                <w:szCs w:val="21"/>
              </w:rPr>
              <w:t>能建立《铁路通信与信号》专业基础课所学内容与本部分的联系，并形成系统性思维。</w:t>
            </w:r>
          </w:p>
        </w:tc>
        <w:tc>
          <w:tcPr>
            <w:tcW w:w="909" w:type="pct"/>
          </w:tcPr>
          <w:p w14:paraId="7BD6271D"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从各种列车的技术作业过程，讨论系统的协调，强调合作意识。</w:t>
            </w:r>
          </w:p>
        </w:tc>
        <w:tc>
          <w:tcPr>
            <w:tcW w:w="404" w:type="pct"/>
            <w:vAlign w:val="center"/>
          </w:tcPr>
          <w:p w14:paraId="61A76C35"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7</w:t>
            </w:r>
          </w:p>
        </w:tc>
      </w:tr>
      <w:tr w:rsidR="00050759" w14:paraId="53D8B0F5" w14:textId="77777777">
        <w:trPr>
          <w:jc w:val="center"/>
        </w:trPr>
        <w:tc>
          <w:tcPr>
            <w:tcW w:w="202" w:type="pct"/>
            <w:vAlign w:val="center"/>
          </w:tcPr>
          <w:p w14:paraId="67458378"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5</w:t>
            </w:r>
          </w:p>
        </w:tc>
        <w:tc>
          <w:tcPr>
            <w:tcW w:w="1061" w:type="pct"/>
          </w:tcPr>
          <w:p w14:paraId="70D1808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调车工作：</w:t>
            </w:r>
          </w:p>
          <w:p w14:paraId="303C0D57"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调车工作概述</w:t>
            </w:r>
          </w:p>
          <w:p w14:paraId="0AD87DE1"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调车设备及驼峰调车作业过程</w:t>
            </w:r>
          </w:p>
          <w:p w14:paraId="2E61C7D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szCs w:val="21"/>
              </w:rPr>
              <w:t>驼峰调车作业方案</w:t>
            </w:r>
          </w:p>
          <w:p w14:paraId="783CC8FD"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牵出线调车作业</w:t>
            </w:r>
          </w:p>
        </w:tc>
        <w:tc>
          <w:tcPr>
            <w:tcW w:w="555" w:type="pct"/>
          </w:tcPr>
          <w:p w14:paraId="4EF7871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调车设备及驼峰调车作业过程</w:t>
            </w:r>
          </w:p>
          <w:p w14:paraId="0906A739"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2)</w:t>
            </w:r>
            <w:r>
              <w:rPr>
                <w:rFonts w:ascii="宋体" w:eastAsia="宋体" w:hAnsi="宋体" w:cs="Times New Roman"/>
                <w:szCs w:val="21"/>
              </w:rPr>
              <w:t>牵出线调车作业</w:t>
            </w:r>
          </w:p>
        </w:tc>
        <w:tc>
          <w:tcPr>
            <w:tcW w:w="1869" w:type="pct"/>
          </w:tcPr>
          <w:p w14:paraId="5F49E0B7"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能指出调车的一般设备，辨别驼峰调车方案的特点及适用条件，归纳调车的种类；</w:t>
            </w:r>
          </w:p>
          <w:p w14:paraId="303EB05C"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比较推送调车与溜放调车的异同；</w:t>
            </w:r>
          </w:p>
          <w:p w14:paraId="70009821"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b/>
                <w:bCs/>
                <w:szCs w:val="21"/>
              </w:rPr>
              <w:t>情意领域：</w:t>
            </w:r>
            <w:r>
              <w:rPr>
                <w:rFonts w:ascii="宋体" w:eastAsia="宋体" w:hAnsi="宋体" w:cs="Times New Roman"/>
                <w:szCs w:val="21"/>
              </w:rPr>
              <w:t>建立《铁路通信与信号》专业基础课所学内容与本部分的联系，形成系统思维。</w:t>
            </w:r>
          </w:p>
        </w:tc>
        <w:tc>
          <w:tcPr>
            <w:tcW w:w="909" w:type="pct"/>
          </w:tcPr>
          <w:p w14:paraId="61D91A9B"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计划的编制讲授中，融入铁路人的工匠精神。</w:t>
            </w:r>
          </w:p>
        </w:tc>
        <w:tc>
          <w:tcPr>
            <w:tcW w:w="404" w:type="pct"/>
            <w:vAlign w:val="center"/>
          </w:tcPr>
          <w:p w14:paraId="60DE8672"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7</w:t>
            </w:r>
          </w:p>
        </w:tc>
      </w:tr>
      <w:tr w:rsidR="00050759" w14:paraId="29250551" w14:textId="77777777">
        <w:trPr>
          <w:jc w:val="center"/>
        </w:trPr>
        <w:tc>
          <w:tcPr>
            <w:tcW w:w="202" w:type="pct"/>
            <w:vAlign w:val="center"/>
          </w:tcPr>
          <w:p w14:paraId="3B099646" w14:textId="77777777" w:rsidR="00050759" w:rsidRDefault="0064082D">
            <w:pPr>
              <w:adjustRightInd w:val="0"/>
              <w:snapToGrid w:val="0"/>
              <w:jc w:val="center"/>
              <w:rPr>
                <w:rFonts w:ascii="Times New Roman" w:hAnsi="Times New Roman" w:cs="Times New Roman"/>
                <w:szCs w:val="21"/>
              </w:rPr>
            </w:pPr>
            <w:r>
              <w:rPr>
                <w:rFonts w:ascii="宋体" w:eastAsia="宋体" w:hAnsi="宋体" w:cs="Times New Roman"/>
                <w:szCs w:val="21"/>
              </w:rPr>
              <w:t>6</w:t>
            </w:r>
          </w:p>
        </w:tc>
        <w:tc>
          <w:tcPr>
            <w:tcW w:w="1061" w:type="pct"/>
          </w:tcPr>
          <w:p w14:paraId="79D6CB26"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调车工作：</w:t>
            </w:r>
          </w:p>
          <w:p w14:paraId="403C7B3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调车的基本要素</w:t>
            </w:r>
          </w:p>
          <w:p w14:paraId="6B4F19E2"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调车作业计划概述及解体调车作业计划</w:t>
            </w:r>
          </w:p>
          <w:p w14:paraId="54A0E272"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3)</w:t>
            </w:r>
            <w:r>
              <w:rPr>
                <w:rFonts w:ascii="宋体" w:eastAsia="宋体" w:hAnsi="宋体" w:cs="Times New Roman"/>
                <w:szCs w:val="21"/>
              </w:rPr>
              <w:t>编组调车作业计划</w:t>
            </w:r>
          </w:p>
        </w:tc>
        <w:tc>
          <w:tcPr>
            <w:tcW w:w="555" w:type="pct"/>
          </w:tcPr>
          <w:p w14:paraId="3B1C0642"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编组调车作业计划</w:t>
            </w:r>
          </w:p>
        </w:tc>
        <w:tc>
          <w:tcPr>
            <w:tcW w:w="1869" w:type="pct"/>
          </w:tcPr>
          <w:p w14:paraId="3D28D97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能描述调车钩与调车程；</w:t>
            </w:r>
          </w:p>
          <w:p w14:paraId="632B4248"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能编制列车的调车作业计划及按站顺编组的摘挂列车调车作业计划；</w:t>
            </w:r>
          </w:p>
          <w:p w14:paraId="0D9AA9C3"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b/>
                <w:bCs/>
                <w:szCs w:val="21"/>
              </w:rPr>
              <w:t>情意领域：</w:t>
            </w:r>
            <w:r>
              <w:rPr>
                <w:rFonts w:ascii="宋体" w:eastAsia="宋体" w:hAnsi="宋体" w:cs="Times New Roman"/>
                <w:szCs w:val="21"/>
              </w:rPr>
              <w:t>可以评价调车作业计划的优劣。</w:t>
            </w:r>
          </w:p>
        </w:tc>
        <w:tc>
          <w:tcPr>
            <w:tcW w:w="909" w:type="pct"/>
            <w:vMerge w:val="restart"/>
          </w:tcPr>
          <w:p w14:paraId="016F5D02"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从车站内各项工作的组织到各子系统的协调，讲授中融入全局视角，培养学生的大局意识、合作精神；结合铁路生产现场平凡岗位先进人物的实例，宣扬勤劳踏实、默默奉献的工作作风。</w:t>
            </w:r>
          </w:p>
          <w:p w14:paraId="284FCDED"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color w:val="000000" w:themeColor="text1"/>
                <w:szCs w:val="21"/>
              </w:rPr>
              <w:t>（邀请车站调度员进行线上或线下讲座介绍车站工作组织）</w:t>
            </w:r>
          </w:p>
        </w:tc>
        <w:tc>
          <w:tcPr>
            <w:tcW w:w="404" w:type="pct"/>
            <w:vAlign w:val="center"/>
          </w:tcPr>
          <w:p w14:paraId="189BB96B" w14:textId="77777777" w:rsidR="00050759" w:rsidRDefault="0064082D">
            <w:pPr>
              <w:adjustRightInd w:val="0"/>
              <w:snapToGrid w:val="0"/>
              <w:jc w:val="left"/>
              <w:rPr>
                <w:rFonts w:ascii="Times New Roman" w:hAnsi="Times New Roman"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6</w:t>
            </w:r>
            <w:r>
              <w:rPr>
                <w:rFonts w:ascii="宋体" w:eastAsia="宋体" w:hAnsi="宋体" w:cs="Times New Roman"/>
                <w:szCs w:val="21"/>
              </w:rPr>
              <w:t>、</w:t>
            </w:r>
            <w:r>
              <w:rPr>
                <w:rFonts w:ascii="宋体" w:eastAsia="宋体" w:hAnsi="宋体" w:cs="Times New Roman"/>
                <w:szCs w:val="21"/>
              </w:rPr>
              <w:t>7</w:t>
            </w:r>
          </w:p>
        </w:tc>
      </w:tr>
      <w:tr w:rsidR="00050759" w14:paraId="2095E826" w14:textId="77777777">
        <w:trPr>
          <w:jc w:val="center"/>
        </w:trPr>
        <w:tc>
          <w:tcPr>
            <w:tcW w:w="202" w:type="pct"/>
            <w:vAlign w:val="center"/>
          </w:tcPr>
          <w:p w14:paraId="0C49C28B"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7</w:t>
            </w:r>
          </w:p>
        </w:tc>
        <w:tc>
          <w:tcPr>
            <w:tcW w:w="1061" w:type="pct"/>
          </w:tcPr>
          <w:p w14:paraId="04B8FC9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货车集结过程：</w:t>
            </w:r>
          </w:p>
          <w:p w14:paraId="47BFF860"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货车集结过程</w:t>
            </w:r>
          </w:p>
          <w:p w14:paraId="2AA85B32"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货车集结时间</w:t>
            </w:r>
          </w:p>
          <w:p w14:paraId="17BF66EE"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集结参数</w:t>
            </w:r>
          </w:p>
          <w:p w14:paraId="24DC832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理想货车集结过程</w:t>
            </w:r>
          </w:p>
        </w:tc>
        <w:tc>
          <w:tcPr>
            <w:tcW w:w="555" w:type="pct"/>
          </w:tcPr>
          <w:p w14:paraId="3AA0BFC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理想货车集结过程</w:t>
            </w:r>
          </w:p>
        </w:tc>
        <w:tc>
          <w:tcPr>
            <w:tcW w:w="1869" w:type="pct"/>
          </w:tcPr>
          <w:p w14:paraId="43E9B66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能界定货车在站集结过程；</w:t>
            </w:r>
          </w:p>
          <w:p w14:paraId="7807F624"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能计算货车集结时间，能概算集结参数；</w:t>
            </w:r>
          </w:p>
          <w:p w14:paraId="647ACA06"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通过理想货车集结过程、简单货车集结过程、一般货车集结过程的学习，建构从理想到简单再到复杂的科学思考方法。</w:t>
            </w:r>
          </w:p>
        </w:tc>
        <w:tc>
          <w:tcPr>
            <w:tcW w:w="909" w:type="pct"/>
            <w:vMerge/>
            <w:vAlign w:val="center"/>
          </w:tcPr>
          <w:p w14:paraId="55A52743"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3BE02270"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4</w:t>
            </w:r>
            <w:r>
              <w:rPr>
                <w:rFonts w:ascii="宋体" w:eastAsia="宋体" w:hAnsi="宋体" w:cs="Times New Roman"/>
                <w:szCs w:val="21"/>
              </w:rPr>
              <w:t>、</w:t>
            </w:r>
            <w:r>
              <w:rPr>
                <w:rFonts w:ascii="宋体" w:eastAsia="宋体" w:hAnsi="宋体" w:cs="Times New Roman"/>
                <w:szCs w:val="21"/>
              </w:rPr>
              <w:t>7</w:t>
            </w:r>
          </w:p>
        </w:tc>
      </w:tr>
      <w:tr w:rsidR="00050759" w14:paraId="19D7EB75" w14:textId="77777777">
        <w:trPr>
          <w:jc w:val="center"/>
        </w:trPr>
        <w:tc>
          <w:tcPr>
            <w:tcW w:w="202" w:type="pct"/>
            <w:vAlign w:val="center"/>
          </w:tcPr>
          <w:p w14:paraId="31F7BBE5"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8</w:t>
            </w:r>
          </w:p>
        </w:tc>
        <w:tc>
          <w:tcPr>
            <w:tcW w:w="1061" w:type="pct"/>
          </w:tcPr>
          <w:p w14:paraId="07EFFB9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取送车作业：</w:t>
            </w:r>
          </w:p>
          <w:p w14:paraId="1C946B1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取送车作业类型</w:t>
            </w:r>
          </w:p>
          <w:p w14:paraId="04DCF58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合理取送车方案计算</w:t>
            </w:r>
          </w:p>
        </w:tc>
        <w:tc>
          <w:tcPr>
            <w:tcW w:w="555" w:type="pct"/>
          </w:tcPr>
          <w:p w14:paraId="2BC4CB6F"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合理取送车方案计算</w:t>
            </w:r>
          </w:p>
        </w:tc>
        <w:tc>
          <w:tcPr>
            <w:tcW w:w="1869" w:type="pct"/>
          </w:tcPr>
          <w:p w14:paraId="37BD376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能列举取送车作业组成因素、分类，能表述取送车问题；</w:t>
            </w:r>
          </w:p>
          <w:p w14:paraId="7103D265"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能评选取送车方案；</w:t>
            </w:r>
          </w:p>
          <w:p w14:paraId="3AAB5451"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通过取送车问题的学习，能够检讨现场作业、提出压缩停时的建议，进一步形成铁路生产环环相扣的系统思维。</w:t>
            </w:r>
          </w:p>
        </w:tc>
        <w:tc>
          <w:tcPr>
            <w:tcW w:w="909" w:type="pct"/>
            <w:vMerge/>
            <w:vAlign w:val="center"/>
          </w:tcPr>
          <w:p w14:paraId="59CE895B"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63785168"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7</w:t>
            </w:r>
          </w:p>
        </w:tc>
      </w:tr>
      <w:tr w:rsidR="00050759" w14:paraId="1DC100A0" w14:textId="77777777">
        <w:trPr>
          <w:jc w:val="center"/>
        </w:trPr>
        <w:tc>
          <w:tcPr>
            <w:tcW w:w="202" w:type="pct"/>
            <w:vAlign w:val="center"/>
          </w:tcPr>
          <w:p w14:paraId="0B70B7D5"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9</w:t>
            </w:r>
          </w:p>
        </w:tc>
        <w:tc>
          <w:tcPr>
            <w:tcW w:w="1061" w:type="pct"/>
          </w:tcPr>
          <w:p w14:paraId="7E490F10"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车站作业计划：</w:t>
            </w:r>
          </w:p>
          <w:p w14:paraId="53D3CAD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车站子系统协调</w:t>
            </w:r>
          </w:p>
          <w:p w14:paraId="7F19F8B7"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车站作业计划</w:t>
            </w:r>
          </w:p>
          <w:p w14:paraId="2267776C"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班计划编制</w:t>
            </w:r>
          </w:p>
        </w:tc>
        <w:tc>
          <w:tcPr>
            <w:tcW w:w="555" w:type="pct"/>
          </w:tcPr>
          <w:p w14:paraId="765D364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班计划编制</w:t>
            </w:r>
          </w:p>
        </w:tc>
        <w:tc>
          <w:tcPr>
            <w:tcW w:w="1869" w:type="pct"/>
          </w:tcPr>
          <w:p w14:paraId="70F8765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能列举车站子系统的构成；</w:t>
            </w:r>
          </w:p>
          <w:p w14:paraId="06E1EB10"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能编制班计划；</w:t>
            </w:r>
          </w:p>
          <w:p w14:paraId="2403827B"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能从系统论角度阐释各子系统协调的条件，培养大局意识及协调意识。</w:t>
            </w:r>
          </w:p>
        </w:tc>
        <w:tc>
          <w:tcPr>
            <w:tcW w:w="909" w:type="pct"/>
            <w:vMerge/>
            <w:vAlign w:val="center"/>
          </w:tcPr>
          <w:p w14:paraId="35B16EF8"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72FAE21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4</w:t>
            </w:r>
            <w:r>
              <w:rPr>
                <w:rFonts w:ascii="宋体" w:eastAsia="宋体" w:hAnsi="宋体" w:cs="Times New Roman"/>
                <w:szCs w:val="21"/>
              </w:rPr>
              <w:t>、</w:t>
            </w:r>
            <w:r>
              <w:rPr>
                <w:rFonts w:ascii="宋体" w:eastAsia="宋体" w:hAnsi="宋体" w:cs="Times New Roman"/>
                <w:szCs w:val="21"/>
              </w:rPr>
              <w:t>5</w:t>
            </w:r>
            <w:r>
              <w:rPr>
                <w:rFonts w:ascii="宋体" w:eastAsia="宋体" w:hAnsi="宋体" w:cs="Times New Roman"/>
                <w:szCs w:val="21"/>
              </w:rPr>
              <w:t>、</w:t>
            </w:r>
            <w:r>
              <w:rPr>
                <w:rFonts w:ascii="宋体" w:eastAsia="宋体" w:hAnsi="宋体" w:cs="Times New Roman"/>
                <w:szCs w:val="21"/>
              </w:rPr>
              <w:t>6</w:t>
            </w:r>
            <w:r>
              <w:rPr>
                <w:rFonts w:ascii="宋体" w:eastAsia="宋体" w:hAnsi="宋体" w:cs="Times New Roman"/>
                <w:szCs w:val="21"/>
              </w:rPr>
              <w:t>、</w:t>
            </w:r>
            <w:r>
              <w:rPr>
                <w:rFonts w:ascii="宋体" w:eastAsia="宋体" w:hAnsi="宋体" w:cs="Times New Roman"/>
                <w:szCs w:val="21"/>
              </w:rPr>
              <w:t>7</w:t>
            </w:r>
          </w:p>
        </w:tc>
      </w:tr>
      <w:tr w:rsidR="00050759" w14:paraId="35A23D01" w14:textId="77777777">
        <w:trPr>
          <w:jc w:val="center"/>
        </w:trPr>
        <w:tc>
          <w:tcPr>
            <w:tcW w:w="202" w:type="pct"/>
            <w:vAlign w:val="center"/>
          </w:tcPr>
          <w:p w14:paraId="1041B34C"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10</w:t>
            </w:r>
          </w:p>
        </w:tc>
        <w:tc>
          <w:tcPr>
            <w:tcW w:w="1061" w:type="pct"/>
          </w:tcPr>
          <w:p w14:paraId="438834C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车站作业计划：</w:t>
            </w:r>
          </w:p>
          <w:p w14:paraId="5B5DFC7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阶段计划编制</w:t>
            </w:r>
          </w:p>
        </w:tc>
        <w:tc>
          <w:tcPr>
            <w:tcW w:w="555" w:type="pct"/>
          </w:tcPr>
          <w:p w14:paraId="3FABBF0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阶段计划编制</w:t>
            </w:r>
          </w:p>
        </w:tc>
        <w:tc>
          <w:tcPr>
            <w:tcW w:w="1869" w:type="pct"/>
          </w:tcPr>
          <w:p w14:paraId="3ACBEF78"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能描述阶段计划的内容；</w:t>
            </w:r>
          </w:p>
          <w:p w14:paraId="3CAEA177"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能编制阶段计划，计算车站作业指标；</w:t>
            </w:r>
          </w:p>
          <w:p w14:paraId="12752807"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能鉴别阶段计划的优劣，同时在计划的编制过程中形成协作意识。</w:t>
            </w:r>
          </w:p>
        </w:tc>
        <w:tc>
          <w:tcPr>
            <w:tcW w:w="909" w:type="pct"/>
            <w:vMerge/>
            <w:vAlign w:val="center"/>
          </w:tcPr>
          <w:p w14:paraId="338D4732"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4DF11AE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3</w:t>
            </w:r>
            <w:r>
              <w:rPr>
                <w:rFonts w:ascii="宋体" w:eastAsia="宋体" w:hAnsi="宋体" w:cs="Times New Roman"/>
                <w:szCs w:val="21"/>
              </w:rPr>
              <w:t>、</w:t>
            </w:r>
            <w:r>
              <w:rPr>
                <w:rFonts w:ascii="宋体" w:eastAsia="宋体" w:hAnsi="宋体" w:cs="Times New Roman"/>
                <w:szCs w:val="21"/>
              </w:rPr>
              <w:t>6</w:t>
            </w:r>
            <w:r>
              <w:rPr>
                <w:rFonts w:ascii="宋体" w:eastAsia="宋体" w:hAnsi="宋体" w:cs="Times New Roman"/>
                <w:szCs w:val="21"/>
              </w:rPr>
              <w:t>、</w:t>
            </w:r>
            <w:r>
              <w:rPr>
                <w:rFonts w:ascii="宋体" w:eastAsia="宋体" w:hAnsi="宋体" w:cs="Times New Roman"/>
                <w:szCs w:val="21"/>
              </w:rPr>
              <w:t>7</w:t>
            </w:r>
          </w:p>
        </w:tc>
      </w:tr>
      <w:tr w:rsidR="00050759" w14:paraId="2B96C434" w14:textId="77777777">
        <w:trPr>
          <w:jc w:val="center"/>
        </w:trPr>
        <w:tc>
          <w:tcPr>
            <w:tcW w:w="202" w:type="pct"/>
            <w:vAlign w:val="center"/>
          </w:tcPr>
          <w:p w14:paraId="2C0B1978"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11</w:t>
            </w:r>
          </w:p>
        </w:tc>
        <w:tc>
          <w:tcPr>
            <w:tcW w:w="1061" w:type="pct"/>
          </w:tcPr>
          <w:p w14:paraId="40DCDCB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车站调度指挥及工作统计</w:t>
            </w:r>
          </w:p>
          <w:p w14:paraId="740C6DA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车站调度指挥</w:t>
            </w:r>
          </w:p>
          <w:p w14:paraId="1BD7DF0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装卸车统计</w:t>
            </w:r>
          </w:p>
          <w:p w14:paraId="439432D0"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现在车统计</w:t>
            </w:r>
          </w:p>
          <w:p w14:paraId="276E278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货车停留时间统计和货车出发正点率统计</w:t>
            </w:r>
          </w:p>
          <w:p w14:paraId="47EF81A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szCs w:val="21"/>
              </w:rPr>
              <w:t>车站工作分析</w:t>
            </w:r>
          </w:p>
        </w:tc>
        <w:tc>
          <w:tcPr>
            <w:tcW w:w="555" w:type="pct"/>
          </w:tcPr>
          <w:p w14:paraId="4A4E613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现在车统计</w:t>
            </w:r>
          </w:p>
          <w:p w14:paraId="3BF4BB52"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货车停留时间统计</w:t>
            </w:r>
          </w:p>
        </w:tc>
        <w:tc>
          <w:tcPr>
            <w:tcW w:w="1869" w:type="pct"/>
          </w:tcPr>
          <w:p w14:paraId="36C31D0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能列举车站调度调整措施；</w:t>
            </w:r>
          </w:p>
          <w:p w14:paraId="763E0A2E"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能计算车站作业指标；</w:t>
            </w:r>
          </w:p>
          <w:p w14:paraId="45198916"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通过对车站作业计划的学习，能评量车站作业计划的优劣，并检讨提高车站作业计划编制质量的措施。</w:t>
            </w:r>
          </w:p>
        </w:tc>
        <w:tc>
          <w:tcPr>
            <w:tcW w:w="909" w:type="pct"/>
            <w:vMerge/>
            <w:vAlign w:val="center"/>
          </w:tcPr>
          <w:p w14:paraId="7FACECED"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280A3B6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3</w:t>
            </w:r>
            <w:r>
              <w:rPr>
                <w:rFonts w:ascii="宋体" w:eastAsia="宋体" w:hAnsi="宋体" w:cs="Times New Roman"/>
                <w:szCs w:val="21"/>
              </w:rPr>
              <w:t>、</w:t>
            </w:r>
            <w:r>
              <w:rPr>
                <w:rFonts w:ascii="宋体" w:eastAsia="宋体" w:hAnsi="宋体" w:cs="Times New Roman"/>
                <w:szCs w:val="21"/>
              </w:rPr>
              <w:t>6</w:t>
            </w:r>
            <w:r>
              <w:rPr>
                <w:rFonts w:ascii="宋体" w:eastAsia="宋体" w:hAnsi="宋体" w:cs="Times New Roman"/>
                <w:szCs w:val="21"/>
              </w:rPr>
              <w:t>、</w:t>
            </w:r>
            <w:r>
              <w:rPr>
                <w:rFonts w:ascii="宋体" w:eastAsia="宋体" w:hAnsi="宋体" w:cs="Times New Roman"/>
                <w:szCs w:val="21"/>
              </w:rPr>
              <w:t>7</w:t>
            </w:r>
          </w:p>
        </w:tc>
      </w:tr>
      <w:tr w:rsidR="00050759" w14:paraId="2F4DCF08" w14:textId="77777777">
        <w:trPr>
          <w:jc w:val="center"/>
        </w:trPr>
        <w:tc>
          <w:tcPr>
            <w:tcW w:w="202" w:type="pct"/>
            <w:vAlign w:val="center"/>
          </w:tcPr>
          <w:p w14:paraId="51F1BF2E"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12</w:t>
            </w:r>
          </w:p>
        </w:tc>
        <w:tc>
          <w:tcPr>
            <w:tcW w:w="3485" w:type="pct"/>
            <w:gridSpan w:val="3"/>
          </w:tcPr>
          <w:p w14:paraId="42401BB5"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小结</w:t>
            </w:r>
            <w:r>
              <w:rPr>
                <w:rFonts w:ascii="宋体" w:eastAsia="宋体" w:hAnsi="宋体" w:cs="Times New Roman"/>
                <w:color w:val="000000" w:themeColor="text1"/>
                <w:szCs w:val="21"/>
              </w:rPr>
              <w:t>、课程设计一的布置与讲解</w:t>
            </w:r>
          </w:p>
          <w:p w14:paraId="3073B9FC" w14:textId="77777777" w:rsidR="00050759" w:rsidRDefault="0064082D">
            <w:pPr>
              <w:adjustRightInd w:val="0"/>
              <w:snapToGrid w:val="0"/>
              <w:jc w:val="center"/>
              <w:rPr>
                <w:rFonts w:ascii="宋体" w:eastAsia="宋体" w:hAnsi="宋体" w:cs="Times New Roman"/>
                <w:b/>
                <w:bCs/>
                <w:szCs w:val="21"/>
              </w:rPr>
            </w:pPr>
            <w:r>
              <w:rPr>
                <w:rFonts w:ascii="宋体" w:eastAsia="宋体" w:hAnsi="宋体" w:cs="Times New Roman"/>
                <w:szCs w:val="21"/>
              </w:rPr>
              <w:t>第一篇内容总结及习题讲解</w:t>
            </w:r>
          </w:p>
        </w:tc>
        <w:tc>
          <w:tcPr>
            <w:tcW w:w="909" w:type="pct"/>
            <w:vAlign w:val="center"/>
          </w:tcPr>
          <w:p w14:paraId="62B2BA1B"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7D9A9B8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p>
        </w:tc>
      </w:tr>
      <w:tr w:rsidR="00050759" w14:paraId="7BFACEB8" w14:textId="77777777">
        <w:trPr>
          <w:jc w:val="center"/>
        </w:trPr>
        <w:tc>
          <w:tcPr>
            <w:tcW w:w="202" w:type="pct"/>
            <w:vAlign w:val="center"/>
          </w:tcPr>
          <w:p w14:paraId="570C2DE9"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13</w:t>
            </w:r>
          </w:p>
        </w:tc>
        <w:tc>
          <w:tcPr>
            <w:tcW w:w="1061" w:type="pct"/>
          </w:tcPr>
          <w:p w14:paraId="094A32D7"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货物列车编组计划：</w:t>
            </w:r>
          </w:p>
          <w:p w14:paraId="7E8D2AD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车流组织</w:t>
            </w:r>
          </w:p>
          <w:p w14:paraId="08B2221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列车编组计划</w:t>
            </w:r>
          </w:p>
          <w:p w14:paraId="34D1F8F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列车编组计划的要素</w:t>
            </w:r>
          </w:p>
          <w:p w14:paraId="7648C8D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szCs w:val="21"/>
              </w:rPr>
              <w:t>装车地直达列车编组计划</w:t>
            </w:r>
          </w:p>
          <w:p w14:paraId="614DA0E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szCs w:val="21"/>
              </w:rPr>
              <w:t>装车地直达列车编组条件</w:t>
            </w:r>
          </w:p>
          <w:p w14:paraId="7A2335D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6)</w:t>
            </w:r>
            <w:r>
              <w:rPr>
                <w:rFonts w:ascii="宋体" w:eastAsia="宋体" w:hAnsi="宋体" w:cs="Times New Roman"/>
                <w:szCs w:val="21"/>
              </w:rPr>
              <w:t>装车地直达列车效益分析</w:t>
            </w:r>
          </w:p>
        </w:tc>
        <w:tc>
          <w:tcPr>
            <w:tcW w:w="555" w:type="pct"/>
          </w:tcPr>
          <w:p w14:paraId="33D5EE4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列车编组计划的要素</w:t>
            </w:r>
          </w:p>
          <w:p w14:paraId="3122B37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szCs w:val="21"/>
              </w:rPr>
              <w:t>装车地直达列车效益分析</w:t>
            </w:r>
          </w:p>
        </w:tc>
        <w:tc>
          <w:tcPr>
            <w:tcW w:w="1869" w:type="pct"/>
          </w:tcPr>
          <w:p w14:paraId="1B4CCE3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能描述车流组织的主要工作，识别货物列车编组计划的内涵，界定装车地直达列车；</w:t>
            </w:r>
          </w:p>
          <w:p w14:paraId="6C905EA9"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能分析装车地直达列车效益，评估装车地直达列车的编组基本条件；</w:t>
            </w:r>
          </w:p>
          <w:p w14:paraId="798C603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情意领域：</w:t>
            </w:r>
            <w:r>
              <w:rPr>
                <w:rFonts w:ascii="宋体" w:eastAsia="宋体" w:hAnsi="宋体" w:cs="Times New Roman"/>
                <w:szCs w:val="21"/>
              </w:rPr>
              <w:t>能标准化直达运输组织水平的指标，形成方案决策制定过程中的全局意识。</w:t>
            </w:r>
          </w:p>
        </w:tc>
        <w:tc>
          <w:tcPr>
            <w:tcW w:w="909" w:type="pct"/>
            <w:vMerge w:val="restart"/>
          </w:tcPr>
          <w:p w14:paraId="1953401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教学内容第二大部分</w:t>
            </w:r>
            <w:r>
              <w:rPr>
                <w:rFonts w:ascii="宋体" w:eastAsia="宋体" w:hAnsi="宋体" w:cs="Times New Roman"/>
                <w:szCs w:val="21"/>
              </w:rPr>
              <w:t>“</w:t>
            </w:r>
            <w:r>
              <w:rPr>
                <w:rFonts w:ascii="宋体" w:eastAsia="宋体" w:hAnsi="宋体" w:cs="Times New Roman"/>
                <w:szCs w:val="21"/>
              </w:rPr>
              <w:t>货物列车编组计划</w:t>
            </w:r>
            <w:r>
              <w:rPr>
                <w:rFonts w:ascii="宋体" w:eastAsia="宋体" w:hAnsi="宋体" w:cs="Times New Roman"/>
                <w:szCs w:val="21"/>
              </w:rPr>
              <w:t>”</w:t>
            </w:r>
            <w:r>
              <w:rPr>
                <w:rFonts w:ascii="宋体" w:eastAsia="宋体" w:hAnsi="宋体" w:cs="Times New Roman"/>
                <w:szCs w:val="21"/>
              </w:rPr>
              <w:t>，强调高效组织及运输组织优化的重要性，带领学生学习科学的思想方法；引导学生学习铁路科研工作者在货物列车编组计划的研究上不畏艰险，追</w:t>
            </w:r>
            <w:r>
              <w:rPr>
                <w:rFonts w:ascii="宋体" w:eastAsia="宋体" w:hAnsi="宋体" w:cs="Times New Roman"/>
                <w:szCs w:val="21"/>
              </w:rPr>
              <w:t>求真理，勇于创新，严谨治学的科学精神。</w:t>
            </w:r>
          </w:p>
        </w:tc>
        <w:tc>
          <w:tcPr>
            <w:tcW w:w="404" w:type="pct"/>
            <w:vAlign w:val="center"/>
          </w:tcPr>
          <w:p w14:paraId="29CEC22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4</w:t>
            </w:r>
            <w:r>
              <w:rPr>
                <w:rFonts w:ascii="宋体" w:eastAsia="宋体" w:hAnsi="宋体" w:cs="Times New Roman"/>
                <w:szCs w:val="21"/>
              </w:rPr>
              <w:t>、</w:t>
            </w:r>
            <w:r>
              <w:rPr>
                <w:rFonts w:ascii="宋体" w:eastAsia="宋体" w:hAnsi="宋体" w:cs="Times New Roman"/>
                <w:szCs w:val="21"/>
              </w:rPr>
              <w:t>6</w:t>
            </w:r>
          </w:p>
        </w:tc>
      </w:tr>
      <w:tr w:rsidR="00050759" w14:paraId="278F9703" w14:textId="77777777">
        <w:trPr>
          <w:jc w:val="center"/>
        </w:trPr>
        <w:tc>
          <w:tcPr>
            <w:tcW w:w="202" w:type="pct"/>
            <w:vAlign w:val="center"/>
          </w:tcPr>
          <w:p w14:paraId="5FD95B68"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14</w:t>
            </w:r>
          </w:p>
        </w:tc>
        <w:tc>
          <w:tcPr>
            <w:tcW w:w="1061" w:type="pct"/>
          </w:tcPr>
          <w:p w14:paraId="30949AA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技术站列车编组计划：</w:t>
            </w:r>
          </w:p>
          <w:p w14:paraId="4FFD7B11"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单组列车编组计划的基本编制原理</w:t>
            </w:r>
          </w:p>
          <w:p w14:paraId="4A670DD2"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单组列车编组计划的绝对计算法</w:t>
            </w:r>
          </w:p>
        </w:tc>
        <w:tc>
          <w:tcPr>
            <w:tcW w:w="555" w:type="pct"/>
          </w:tcPr>
          <w:p w14:paraId="6E8A188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单组列车编组计划的绝对计算法</w:t>
            </w:r>
          </w:p>
        </w:tc>
        <w:tc>
          <w:tcPr>
            <w:tcW w:w="1869" w:type="pct"/>
          </w:tcPr>
          <w:p w14:paraId="42DC4B8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能解释单组列车编组计划的基本编制原理；</w:t>
            </w:r>
          </w:p>
          <w:p w14:paraId="1849B14A"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能通过绝对计算法编制单组列车编组计划。</w:t>
            </w:r>
          </w:p>
        </w:tc>
        <w:tc>
          <w:tcPr>
            <w:tcW w:w="909" w:type="pct"/>
            <w:vMerge/>
            <w:vAlign w:val="center"/>
          </w:tcPr>
          <w:p w14:paraId="5E232F69"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06DEAC9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6</w:t>
            </w:r>
          </w:p>
        </w:tc>
      </w:tr>
      <w:tr w:rsidR="00050759" w14:paraId="7A4082B4" w14:textId="77777777">
        <w:trPr>
          <w:jc w:val="center"/>
        </w:trPr>
        <w:tc>
          <w:tcPr>
            <w:tcW w:w="202" w:type="pct"/>
            <w:vAlign w:val="center"/>
          </w:tcPr>
          <w:p w14:paraId="4AA1217C"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15</w:t>
            </w:r>
          </w:p>
        </w:tc>
        <w:tc>
          <w:tcPr>
            <w:tcW w:w="1061" w:type="pct"/>
          </w:tcPr>
          <w:p w14:paraId="228E7242"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技术站列车编组计划：</w:t>
            </w:r>
          </w:p>
          <w:p w14:paraId="4DC20A25"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表格计算法</w:t>
            </w:r>
          </w:p>
          <w:p w14:paraId="280C01D0"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分组列车编组计划</w:t>
            </w:r>
          </w:p>
          <w:p w14:paraId="6FAE5044"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货物列车编组计划的确定与执行</w:t>
            </w:r>
          </w:p>
        </w:tc>
        <w:tc>
          <w:tcPr>
            <w:tcW w:w="555" w:type="pct"/>
          </w:tcPr>
          <w:p w14:paraId="0D4A3A64"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表格计算法</w:t>
            </w:r>
          </w:p>
        </w:tc>
        <w:tc>
          <w:tcPr>
            <w:tcW w:w="1869" w:type="pct"/>
          </w:tcPr>
          <w:p w14:paraId="73AEC134"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能归纳分组列车编组计划的编制方法，能列举编组计划检查的基本条件，能提取编组计划执行的一般过程及要求；</w:t>
            </w:r>
          </w:p>
          <w:p w14:paraId="1236CE8C"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能通过表格计算法编制单组列车编组计划。</w:t>
            </w:r>
          </w:p>
        </w:tc>
        <w:tc>
          <w:tcPr>
            <w:tcW w:w="909" w:type="pct"/>
            <w:vMerge/>
            <w:vAlign w:val="center"/>
          </w:tcPr>
          <w:p w14:paraId="5B9E7EA4"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6A6D32B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6</w:t>
            </w:r>
          </w:p>
        </w:tc>
      </w:tr>
      <w:tr w:rsidR="00050759" w14:paraId="200BD51C" w14:textId="77777777">
        <w:trPr>
          <w:jc w:val="center"/>
        </w:trPr>
        <w:tc>
          <w:tcPr>
            <w:tcW w:w="202" w:type="pct"/>
            <w:vAlign w:val="center"/>
          </w:tcPr>
          <w:p w14:paraId="17E331DF"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16</w:t>
            </w:r>
          </w:p>
        </w:tc>
        <w:tc>
          <w:tcPr>
            <w:tcW w:w="1061" w:type="pct"/>
          </w:tcPr>
          <w:p w14:paraId="01FD02DF"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列车运行图概述：</w:t>
            </w:r>
          </w:p>
          <w:p w14:paraId="6263C3B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运行图概述</w:t>
            </w:r>
          </w:p>
          <w:p w14:paraId="2858C8E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运行图表示方法</w:t>
            </w:r>
          </w:p>
          <w:p w14:paraId="7120534E"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运行图的分类</w:t>
            </w:r>
          </w:p>
          <w:p w14:paraId="0028CE2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szCs w:val="21"/>
              </w:rPr>
              <w:t>运行图要素一</w:t>
            </w:r>
          </w:p>
        </w:tc>
        <w:tc>
          <w:tcPr>
            <w:tcW w:w="555" w:type="pct"/>
          </w:tcPr>
          <w:p w14:paraId="387A4B1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运行图要素一</w:t>
            </w:r>
          </w:p>
        </w:tc>
        <w:tc>
          <w:tcPr>
            <w:tcW w:w="1869" w:type="pct"/>
          </w:tcPr>
          <w:p w14:paraId="46A0B5A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能说明列车运行图的作用、分类，识别列车运行图的要素；</w:t>
            </w:r>
          </w:p>
          <w:p w14:paraId="1E64FA1F"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能分析装车地直达列车效益，评估装车地直达列车的编组基本条件；</w:t>
            </w:r>
          </w:p>
          <w:p w14:paraId="22DC2AD1"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深刻理解铁路严肃缜密的工作性质。</w:t>
            </w:r>
          </w:p>
        </w:tc>
        <w:tc>
          <w:tcPr>
            <w:tcW w:w="909" w:type="pct"/>
            <w:vMerge w:val="restart"/>
          </w:tcPr>
          <w:p w14:paraId="7363463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通过运行图的学习，强化纪律及规章的重要性；</w:t>
            </w:r>
          </w:p>
          <w:p w14:paraId="42890E2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通过课程设计的完成培养学生理论联系实际的能力以及解决复杂工程问题的能力。</w:t>
            </w:r>
          </w:p>
        </w:tc>
        <w:tc>
          <w:tcPr>
            <w:tcW w:w="404" w:type="pct"/>
            <w:vAlign w:val="center"/>
          </w:tcPr>
          <w:p w14:paraId="1EF109A6"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7</w:t>
            </w:r>
          </w:p>
        </w:tc>
      </w:tr>
      <w:tr w:rsidR="00050759" w14:paraId="3E5FD7D7" w14:textId="77777777">
        <w:trPr>
          <w:jc w:val="center"/>
        </w:trPr>
        <w:tc>
          <w:tcPr>
            <w:tcW w:w="202" w:type="pct"/>
            <w:vAlign w:val="center"/>
          </w:tcPr>
          <w:p w14:paraId="00FB68AB"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17</w:t>
            </w:r>
          </w:p>
        </w:tc>
        <w:tc>
          <w:tcPr>
            <w:tcW w:w="1061" w:type="pct"/>
          </w:tcPr>
          <w:p w14:paraId="47EB254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列车运行图要素：</w:t>
            </w:r>
          </w:p>
          <w:p w14:paraId="23015D9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车站间隔时间</w:t>
            </w:r>
          </w:p>
          <w:p w14:paraId="066F945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追踪列车间隔时间</w:t>
            </w:r>
          </w:p>
        </w:tc>
        <w:tc>
          <w:tcPr>
            <w:tcW w:w="555" w:type="pct"/>
          </w:tcPr>
          <w:p w14:paraId="019B83F6"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车站间隔时间</w:t>
            </w:r>
          </w:p>
        </w:tc>
        <w:tc>
          <w:tcPr>
            <w:tcW w:w="1869" w:type="pct"/>
          </w:tcPr>
          <w:p w14:paraId="4622357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能复述各车站间隔时间；</w:t>
            </w:r>
          </w:p>
          <w:p w14:paraId="296A839B"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能使用相关计算方法；</w:t>
            </w:r>
          </w:p>
          <w:p w14:paraId="7647A108"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深刻理解铁路严肃缜密的工作性质，展望我国列控技术、通信信号技术发展对铁路能力的积极影响，培养文化自信。</w:t>
            </w:r>
          </w:p>
        </w:tc>
        <w:tc>
          <w:tcPr>
            <w:tcW w:w="909" w:type="pct"/>
            <w:vMerge/>
            <w:vAlign w:val="center"/>
          </w:tcPr>
          <w:p w14:paraId="34F993F0"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65AD248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7</w:t>
            </w:r>
          </w:p>
        </w:tc>
      </w:tr>
      <w:tr w:rsidR="00050759" w14:paraId="22CAD5D7" w14:textId="77777777">
        <w:trPr>
          <w:jc w:val="center"/>
        </w:trPr>
        <w:tc>
          <w:tcPr>
            <w:tcW w:w="202" w:type="pct"/>
            <w:vAlign w:val="center"/>
          </w:tcPr>
          <w:p w14:paraId="7DE829CB"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18</w:t>
            </w:r>
          </w:p>
        </w:tc>
        <w:tc>
          <w:tcPr>
            <w:tcW w:w="1061" w:type="pct"/>
          </w:tcPr>
          <w:p w14:paraId="4E985704"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铁路区间通过能力：</w:t>
            </w:r>
          </w:p>
          <w:p w14:paraId="454F217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运输能力</w:t>
            </w:r>
          </w:p>
          <w:p w14:paraId="07C403D0"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区间通过能力计算</w:t>
            </w:r>
          </w:p>
          <w:p w14:paraId="05D308C6"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中间站停站的区间通过能力计算</w:t>
            </w:r>
          </w:p>
        </w:tc>
        <w:tc>
          <w:tcPr>
            <w:tcW w:w="555" w:type="pct"/>
          </w:tcPr>
          <w:p w14:paraId="0C044EF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中间站停站的区间通过能力计算</w:t>
            </w:r>
          </w:p>
        </w:tc>
        <w:tc>
          <w:tcPr>
            <w:tcW w:w="1869" w:type="pct"/>
          </w:tcPr>
          <w:p w14:paraId="1C56856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能解释铁路通过能力及输送能力；</w:t>
            </w:r>
          </w:p>
          <w:p w14:paraId="3E482C7D"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能计算区间通过能力以及中间站有停站的区间通过能力；</w:t>
            </w:r>
          </w:p>
        </w:tc>
        <w:tc>
          <w:tcPr>
            <w:tcW w:w="909" w:type="pct"/>
            <w:vMerge/>
            <w:vAlign w:val="center"/>
          </w:tcPr>
          <w:p w14:paraId="71DF851C"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27026AE0"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p>
        </w:tc>
      </w:tr>
      <w:tr w:rsidR="00050759" w14:paraId="6982B9BE" w14:textId="77777777">
        <w:trPr>
          <w:jc w:val="center"/>
        </w:trPr>
        <w:tc>
          <w:tcPr>
            <w:tcW w:w="202" w:type="pct"/>
            <w:vAlign w:val="center"/>
          </w:tcPr>
          <w:p w14:paraId="5A7A5100"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19</w:t>
            </w:r>
          </w:p>
        </w:tc>
        <w:tc>
          <w:tcPr>
            <w:tcW w:w="1061" w:type="pct"/>
          </w:tcPr>
          <w:p w14:paraId="21825A2C"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扣除系数法：</w:t>
            </w:r>
          </w:p>
          <w:p w14:paraId="20CA166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非平行运行图通过能力计算</w:t>
            </w:r>
          </w:p>
          <w:p w14:paraId="03CA9E7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铁路综合维修天窗设置</w:t>
            </w:r>
          </w:p>
          <w:p w14:paraId="0F2E6A1E"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szCs w:val="21"/>
              </w:rPr>
              <w:t>高速铁路通过能力的计算特点</w:t>
            </w:r>
          </w:p>
          <w:p w14:paraId="02A9B26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szCs w:val="21"/>
              </w:rPr>
              <w:t>高速铁路通过能力计算</w:t>
            </w:r>
          </w:p>
        </w:tc>
        <w:tc>
          <w:tcPr>
            <w:tcW w:w="555" w:type="pct"/>
          </w:tcPr>
          <w:p w14:paraId="432EDBE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非平行运行图通过能力计算</w:t>
            </w:r>
          </w:p>
        </w:tc>
        <w:tc>
          <w:tcPr>
            <w:tcW w:w="1869" w:type="pct"/>
          </w:tcPr>
          <w:p w14:paraId="77B74B17"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使用非平图铁路区间通过能力的计算方法进行能力计算，剖析行车与天窗的关联。</w:t>
            </w:r>
          </w:p>
          <w:p w14:paraId="4DC8B335"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深刻理解不同国情路情下有不同的目标和要求，一切方法的选择都应该理论联系实际。</w:t>
            </w:r>
          </w:p>
        </w:tc>
        <w:tc>
          <w:tcPr>
            <w:tcW w:w="909" w:type="pct"/>
            <w:vMerge/>
            <w:vAlign w:val="center"/>
          </w:tcPr>
          <w:p w14:paraId="278FC9DA"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523F829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7</w:t>
            </w:r>
          </w:p>
        </w:tc>
      </w:tr>
      <w:tr w:rsidR="00050759" w14:paraId="7B11D218" w14:textId="77777777">
        <w:trPr>
          <w:jc w:val="center"/>
        </w:trPr>
        <w:tc>
          <w:tcPr>
            <w:tcW w:w="202" w:type="pct"/>
            <w:vAlign w:val="center"/>
          </w:tcPr>
          <w:p w14:paraId="571C9FC3"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20</w:t>
            </w:r>
          </w:p>
        </w:tc>
        <w:tc>
          <w:tcPr>
            <w:tcW w:w="1061" w:type="pct"/>
          </w:tcPr>
          <w:p w14:paraId="0029F1B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列车旅速及区段管内工作组织：</w:t>
            </w:r>
          </w:p>
          <w:p w14:paraId="642A558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列车旅行速度</w:t>
            </w:r>
          </w:p>
          <w:p w14:paraId="471F7B9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区段管内工作量</w:t>
            </w:r>
          </w:p>
          <w:p w14:paraId="1DD5923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区段管内列车铺化方案</w:t>
            </w:r>
          </w:p>
        </w:tc>
        <w:tc>
          <w:tcPr>
            <w:tcW w:w="555" w:type="pct"/>
          </w:tcPr>
          <w:p w14:paraId="25574EE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区段管内列车铺化方案</w:t>
            </w:r>
          </w:p>
        </w:tc>
        <w:tc>
          <w:tcPr>
            <w:tcW w:w="1869" w:type="pct"/>
          </w:tcPr>
          <w:p w14:paraId="217BB91C"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能计算列车旅行速度、区段管内列车数，能铺画区段管内列车；</w:t>
            </w:r>
          </w:p>
          <w:p w14:paraId="227926F0"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学会关联生产实际与理论研究。</w:t>
            </w:r>
          </w:p>
        </w:tc>
        <w:tc>
          <w:tcPr>
            <w:tcW w:w="909" w:type="pct"/>
            <w:vMerge/>
            <w:vAlign w:val="center"/>
          </w:tcPr>
          <w:p w14:paraId="1CD78EC5"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148CDD48"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3</w:t>
            </w:r>
            <w:r>
              <w:rPr>
                <w:rFonts w:ascii="宋体" w:eastAsia="宋体" w:hAnsi="宋体" w:cs="Times New Roman"/>
                <w:szCs w:val="21"/>
              </w:rPr>
              <w:t>、</w:t>
            </w:r>
            <w:r>
              <w:rPr>
                <w:rFonts w:ascii="宋体" w:eastAsia="宋体" w:hAnsi="宋体" w:cs="Times New Roman"/>
                <w:szCs w:val="21"/>
              </w:rPr>
              <w:t>6</w:t>
            </w:r>
          </w:p>
        </w:tc>
      </w:tr>
      <w:tr w:rsidR="00050759" w14:paraId="7E070D70" w14:textId="77777777">
        <w:trPr>
          <w:jc w:val="center"/>
        </w:trPr>
        <w:tc>
          <w:tcPr>
            <w:tcW w:w="202" w:type="pct"/>
            <w:vAlign w:val="center"/>
          </w:tcPr>
          <w:p w14:paraId="75B5D2BC"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21</w:t>
            </w:r>
          </w:p>
        </w:tc>
        <w:tc>
          <w:tcPr>
            <w:tcW w:w="1061" w:type="pct"/>
          </w:tcPr>
          <w:p w14:paraId="5B62656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机车及动车组运用工作组织：</w:t>
            </w:r>
          </w:p>
          <w:p w14:paraId="68D97BB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机车交路</w:t>
            </w:r>
          </w:p>
          <w:p w14:paraId="7A6CA82C"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机车乘务组织</w:t>
            </w:r>
          </w:p>
          <w:p w14:paraId="357C87C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机车周转时间</w:t>
            </w:r>
          </w:p>
          <w:p w14:paraId="05710D5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动车组运用工作组织</w:t>
            </w:r>
          </w:p>
        </w:tc>
        <w:tc>
          <w:tcPr>
            <w:tcW w:w="555" w:type="pct"/>
          </w:tcPr>
          <w:p w14:paraId="5D19CA1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机车周转时间</w:t>
            </w:r>
          </w:p>
        </w:tc>
        <w:tc>
          <w:tcPr>
            <w:tcW w:w="1869" w:type="pct"/>
          </w:tcPr>
          <w:p w14:paraId="416A2454"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能识别各类型的机车交路与乘务换班方式；</w:t>
            </w:r>
          </w:p>
          <w:p w14:paraId="200073CC"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能计算机车周转时间；</w:t>
            </w:r>
          </w:p>
          <w:p w14:paraId="4C672550"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能对比机车及动车组的运用方法，关联我国动车的发展，培养文化与制度自信；</w:t>
            </w:r>
            <w:r>
              <w:rPr>
                <w:rFonts w:ascii="宋体" w:eastAsia="宋体" w:hAnsi="宋体" w:cs="Times New Roman"/>
                <w:szCs w:val="21"/>
              </w:rPr>
              <w:t xml:space="preserve"> </w:t>
            </w:r>
          </w:p>
        </w:tc>
        <w:tc>
          <w:tcPr>
            <w:tcW w:w="909" w:type="pct"/>
            <w:vMerge/>
            <w:vAlign w:val="center"/>
          </w:tcPr>
          <w:p w14:paraId="2C0F3D7D"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5FB6AC9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6</w:t>
            </w:r>
            <w:r>
              <w:rPr>
                <w:rFonts w:ascii="宋体" w:eastAsia="宋体" w:hAnsi="宋体" w:cs="Times New Roman"/>
                <w:szCs w:val="21"/>
              </w:rPr>
              <w:t>、</w:t>
            </w:r>
            <w:r>
              <w:rPr>
                <w:rFonts w:ascii="宋体" w:eastAsia="宋体" w:hAnsi="宋体" w:cs="Times New Roman"/>
                <w:szCs w:val="21"/>
              </w:rPr>
              <w:t>7</w:t>
            </w:r>
          </w:p>
        </w:tc>
      </w:tr>
      <w:tr w:rsidR="00050759" w14:paraId="4C226D6B" w14:textId="77777777">
        <w:trPr>
          <w:jc w:val="center"/>
        </w:trPr>
        <w:tc>
          <w:tcPr>
            <w:tcW w:w="202" w:type="pct"/>
            <w:vAlign w:val="center"/>
          </w:tcPr>
          <w:p w14:paraId="6F9B8EED"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22</w:t>
            </w:r>
          </w:p>
        </w:tc>
        <w:tc>
          <w:tcPr>
            <w:tcW w:w="1061" w:type="pct"/>
          </w:tcPr>
          <w:p w14:paraId="3DC7031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列车运行图的编制：</w:t>
            </w:r>
          </w:p>
          <w:p w14:paraId="16CDB5D0"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列车运行图的编制</w:t>
            </w:r>
          </w:p>
          <w:p w14:paraId="6CC4B21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旅客列车运行图的编制步骤</w:t>
            </w:r>
          </w:p>
          <w:p w14:paraId="50F1322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3)</w:t>
            </w:r>
            <w:r>
              <w:rPr>
                <w:rFonts w:ascii="宋体" w:eastAsia="宋体" w:hAnsi="宋体" w:cs="Times New Roman"/>
                <w:szCs w:val="21"/>
              </w:rPr>
              <w:t>货物列车运行图的编制步骤</w:t>
            </w:r>
          </w:p>
          <w:p w14:paraId="501D467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4)</w:t>
            </w:r>
            <w:r>
              <w:rPr>
                <w:rFonts w:ascii="宋体" w:eastAsia="宋体" w:hAnsi="宋体" w:cs="Times New Roman"/>
                <w:szCs w:val="21"/>
              </w:rPr>
              <w:t>高速铁路列车运行图编制</w:t>
            </w:r>
          </w:p>
          <w:p w14:paraId="0E248C8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szCs w:val="21"/>
              </w:rPr>
              <w:t>列车运行图的指标</w:t>
            </w:r>
          </w:p>
        </w:tc>
        <w:tc>
          <w:tcPr>
            <w:tcW w:w="555" w:type="pct"/>
          </w:tcPr>
          <w:p w14:paraId="2B3026AF"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列车运行图的指标</w:t>
            </w:r>
          </w:p>
        </w:tc>
        <w:tc>
          <w:tcPr>
            <w:tcW w:w="1869" w:type="pct"/>
          </w:tcPr>
          <w:p w14:paraId="7148C2E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能说明运行图的重要指标；</w:t>
            </w:r>
          </w:p>
          <w:p w14:paraId="0F6A85D2"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能编制列车运行图，计算运行图相关指标；</w:t>
            </w:r>
          </w:p>
          <w:p w14:paraId="049C71AE"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能阐释既有线与高速铁路列车运行图编制的异同；</w:t>
            </w:r>
          </w:p>
        </w:tc>
        <w:tc>
          <w:tcPr>
            <w:tcW w:w="909" w:type="pct"/>
            <w:vMerge/>
            <w:vAlign w:val="center"/>
          </w:tcPr>
          <w:p w14:paraId="00C1D005"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2655FEF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3</w:t>
            </w:r>
            <w:r>
              <w:rPr>
                <w:rFonts w:ascii="宋体" w:eastAsia="宋体" w:hAnsi="宋体" w:cs="Times New Roman"/>
                <w:szCs w:val="21"/>
              </w:rPr>
              <w:t>、</w:t>
            </w:r>
            <w:r>
              <w:rPr>
                <w:rFonts w:ascii="宋体" w:eastAsia="宋体" w:hAnsi="宋体" w:cs="Times New Roman"/>
                <w:szCs w:val="21"/>
              </w:rPr>
              <w:t>6</w:t>
            </w:r>
          </w:p>
        </w:tc>
      </w:tr>
      <w:tr w:rsidR="00050759" w14:paraId="48AE8001" w14:textId="77777777">
        <w:trPr>
          <w:jc w:val="center"/>
        </w:trPr>
        <w:tc>
          <w:tcPr>
            <w:tcW w:w="202" w:type="pct"/>
            <w:vAlign w:val="center"/>
          </w:tcPr>
          <w:p w14:paraId="5FCC8F9A"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23</w:t>
            </w:r>
          </w:p>
        </w:tc>
        <w:tc>
          <w:tcPr>
            <w:tcW w:w="1061" w:type="pct"/>
          </w:tcPr>
          <w:p w14:paraId="45ADF47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铁路运输能力加强：</w:t>
            </w:r>
          </w:p>
          <w:p w14:paraId="3D894EAE"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运输能力的适应性分析</w:t>
            </w:r>
          </w:p>
          <w:p w14:paraId="579C38E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加强运输能力的途径</w:t>
            </w:r>
          </w:p>
          <w:p w14:paraId="1F410CD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加强运输能力的措施</w:t>
            </w:r>
          </w:p>
        </w:tc>
        <w:tc>
          <w:tcPr>
            <w:tcW w:w="555" w:type="pct"/>
          </w:tcPr>
          <w:p w14:paraId="1D96F3D8"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加强运输能力的措施</w:t>
            </w:r>
          </w:p>
        </w:tc>
        <w:tc>
          <w:tcPr>
            <w:tcW w:w="1869" w:type="pct"/>
          </w:tcPr>
          <w:p w14:paraId="4315677B"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能分析运输能力适应性的方法，归纳铁路运输能力加强的途径和措施；</w:t>
            </w:r>
          </w:p>
          <w:p w14:paraId="272FB480"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关联路网整体运输能力的提升方法，了解一代代铁路科研工作者在提升运输能力上所做的努力，培养学生奉献精神及行业自信。</w:t>
            </w:r>
          </w:p>
        </w:tc>
        <w:tc>
          <w:tcPr>
            <w:tcW w:w="909" w:type="pct"/>
          </w:tcPr>
          <w:p w14:paraId="6C2C4BA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展现一代又一代铁路人如何通过不断的努力达到现在的成绩，培养学生的爱岗爱业情怀；</w:t>
            </w:r>
          </w:p>
        </w:tc>
        <w:tc>
          <w:tcPr>
            <w:tcW w:w="404" w:type="pct"/>
            <w:vAlign w:val="center"/>
          </w:tcPr>
          <w:p w14:paraId="7A5FCFA9"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3</w:t>
            </w:r>
            <w:r>
              <w:rPr>
                <w:rFonts w:ascii="宋体" w:eastAsia="宋体" w:hAnsi="宋体" w:cs="Times New Roman"/>
                <w:szCs w:val="21"/>
              </w:rPr>
              <w:t>、</w:t>
            </w:r>
            <w:r>
              <w:rPr>
                <w:rFonts w:ascii="宋体" w:eastAsia="宋体" w:hAnsi="宋体" w:cs="Times New Roman"/>
                <w:szCs w:val="21"/>
              </w:rPr>
              <w:t>5</w:t>
            </w:r>
            <w:r>
              <w:rPr>
                <w:rFonts w:ascii="宋体" w:eastAsia="宋体" w:hAnsi="宋体" w:cs="Times New Roman"/>
                <w:szCs w:val="21"/>
              </w:rPr>
              <w:t>、</w:t>
            </w:r>
            <w:r>
              <w:rPr>
                <w:rFonts w:ascii="宋体" w:eastAsia="宋体" w:hAnsi="宋体" w:cs="Times New Roman"/>
                <w:szCs w:val="21"/>
              </w:rPr>
              <w:t>7</w:t>
            </w:r>
          </w:p>
        </w:tc>
      </w:tr>
      <w:tr w:rsidR="00050759" w14:paraId="64FBC981" w14:textId="77777777">
        <w:trPr>
          <w:jc w:val="center"/>
        </w:trPr>
        <w:tc>
          <w:tcPr>
            <w:tcW w:w="202" w:type="pct"/>
            <w:vAlign w:val="center"/>
          </w:tcPr>
          <w:p w14:paraId="697178B5"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24</w:t>
            </w:r>
          </w:p>
        </w:tc>
        <w:tc>
          <w:tcPr>
            <w:tcW w:w="3485" w:type="pct"/>
            <w:gridSpan w:val="3"/>
          </w:tcPr>
          <w:p w14:paraId="4130A97F"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小</w:t>
            </w:r>
            <w:r>
              <w:rPr>
                <w:rFonts w:ascii="宋体" w:eastAsia="宋体" w:hAnsi="宋体" w:cs="Times New Roman"/>
                <w:color w:val="000000" w:themeColor="text1"/>
                <w:szCs w:val="21"/>
              </w:rPr>
              <w:t>结、课程设计二布置与讲解</w:t>
            </w:r>
          </w:p>
          <w:p w14:paraId="02E33CA4" w14:textId="77777777" w:rsidR="00050759" w:rsidRDefault="0064082D">
            <w:pPr>
              <w:adjustRightInd w:val="0"/>
              <w:snapToGrid w:val="0"/>
              <w:jc w:val="center"/>
              <w:rPr>
                <w:rFonts w:ascii="宋体" w:eastAsia="宋体" w:hAnsi="宋体" w:cs="Times New Roman"/>
                <w:b/>
                <w:bCs/>
                <w:szCs w:val="21"/>
              </w:rPr>
            </w:pPr>
            <w:r>
              <w:rPr>
                <w:rFonts w:ascii="宋体" w:eastAsia="宋体" w:hAnsi="宋体" w:cs="Times New Roman"/>
                <w:szCs w:val="21"/>
              </w:rPr>
              <w:t>第二、三篇内容总结及习题讲解</w:t>
            </w:r>
          </w:p>
        </w:tc>
        <w:tc>
          <w:tcPr>
            <w:tcW w:w="909" w:type="pct"/>
          </w:tcPr>
          <w:p w14:paraId="629A0856"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4A3EC44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p>
        </w:tc>
      </w:tr>
      <w:tr w:rsidR="00050759" w14:paraId="56EB7035" w14:textId="77777777">
        <w:trPr>
          <w:jc w:val="center"/>
        </w:trPr>
        <w:tc>
          <w:tcPr>
            <w:tcW w:w="202" w:type="pct"/>
            <w:vAlign w:val="center"/>
          </w:tcPr>
          <w:p w14:paraId="2A6E362D"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25</w:t>
            </w:r>
          </w:p>
        </w:tc>
        <w:tc>
          <w:tcPr>
            <w:tcW w:w="1061" w:type="pct"/>
          </w:tcPr>
          <w:p w14:paraId="61212DC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铁路枢纽工作组织：</w:t>
            </w:r>
          </w:p>
          <w:p w14:paraId="50E6AF9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铁路枢纽概述</w:t>
            </w:r>
          </w:p>
          <w:p w14:paraId="3CEB34C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枢纽内车流改编作业的分工</w:t>
            </w:r>
          </w:p>
          <w:p w14:paraId="2655B3D4"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枢纽内其他作业的分工</w:t>
            </w:r>
          </w:p>
          <w:p w14:paraId="40E0A28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枢纽内的车流组织</w:t>
            </w:r>
          </w:p>
          <w:p w14:paraId="04C919E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枢纽内的列车运行组织</w:t>
            </w:r>
          </w:p>
        </w:tc>
        <w:tc>
          <w:tcPr>
            <w:tcW w:w="555" w:type="pct"/>
          </w:tcPr>
          <w:p w14:paraId="31F441A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枢纽内的车流组织</w:t>
            </w:r>
          </w:p>
          <w:p w14:paraId="0286C7F6"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hint="eastAsia"/>
                <w:szCs w:val="21"/>
              </w:rPr>
              <w:t>)</w:t>
            </w:r>
            <w:r>
              <w:rPr>
                <w:rFonts w:ascii="宋体" w:eastAsia="宋体" w:hAnsi="宋体" w:cs="Times New Roman"/>
                <w:szCs w:val="21"/>
              </w:rPr>
              <w:t>枢纽内的列车运行组织</w:t>
            </w:r>
          </w:p>
        </w:tc>
        <w:tc>
          <w:tcPr>
            <w:tcW w:w="1869" w:type="pct"/>
          </w:tcPr>
          <w:p w14:paraId="07B1CF42"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能列举枢纽的分类；</w:t>
            </w:r>
          </w:p>
          <w:p w14:paraId="4B68D4DF"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能区别枢纽内车站的车流改编作业分工方案；</w:t>
            </w:r>
          </w:p>
          <w:p w14:paraId="0FBB3AD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情意领域：</w:t>
            </w:r>
            <w:r>
              <w:rPr>
                <w:rFonts w:ascii="宋体" w:eastAsia="宋体" w:hAnsi="宋体" w:cs="Times New Roman"/>
                <w:szCs w:val="21"/>
              </w:rPr>
              <w:t>培养全局意识，用全局思维评量点线能力协调。</w:t>
            </w:r>
          </w:p>
        </w:tc>
        <w:tc>
          <w:tcPr>
            <w:tcW w:w="909" w:type="pct"/>
          </w:tcPr>
          <w:p w14:paraId="1CCCC10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通过枢纽工作的复杂性，培养学生的协调能力；</w:t>
            </w:r>
          </w:p>
        </w:tc>
        <w:tc>
          <w:tcPr>
            <w:tcW w:w="404" w:type="pct"/>
            <w:vAlign w:val="center"/>
          </w:tcPr>
          <w:p w14:paraId="7616774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4</w:t>
            </w:r>
            <w:r>
              <w:rPr>
                <w:rFonts w:ascii="宋体" w:eastAsia="宋体" w:hAnsi="宋体" w:cs="Times New Roman"/>
                <w:szCs w:val="21"/>
              </w:rPr>
              <w:t>、</w:t>
            </w:r>
            <w:r>
              <w:rPr>
                <w:rFonts w:ascii="宋体" w:eastAsia="宋体" w:hAnsi="宋体" w:cs="Times New Roman"/>
                <w:szCs w:val="21"/>
              </w:rPr>
              <w:t>7</w:t>
            </w:r>
          </w:p>
        </w:tc>
      </w:tr>
      <w:tr w:rsidR="00050759" w14:paraId="23E17D15" w14:textId="77777777">
        <w:trPr>
          <w:jc w:val="center"/>
        </w:trPr>
        <w:tc>
          <w:tcPr>
            <w:tcW w:w="202" w:type="pct"/>
            <w:vAlign w:val="center"/>
          </w:tcPr>
          <w:p w14:paraId="213C73C1"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26</w:t>
            </w:r>
          </w:p>
        </w:tc>
        <w:tc>
          <w:tcPr>
            <w:tcW w:w="1061" w:type="pct"/>
          </w:tcPr>
          <w:p w14:paraId="2731661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月度货运计划：</w:t>
            </w:r>
          </w:p>
          <w:p w14:paraId="2D25616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基本概念</w:t>
            </w:r>
          </w:p>
          <w:p w14:paraId="0E17AF3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月度货运计划的作用</w:t>
            </w:r>
          </w:p>
        </w:tc>
        <w:tc>
          <w:tcPr>
            <w:tcW w:w="555" w:type="pct"/>
          </w:tcPr>
          <w:p w14:paraId="3DA90321"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月度货运计划的作用</w:t>
            </w:r>
          </w:p>
        </w:tc>
        <w:tc>
          <w:tcPr>
            <w:tcW w:w="1869" w:type="pct"/>
          </w:tcPr>
          <w:p w14:paraId="17E9ED6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能复述货运计划相关概念；</w:t>
            </w:r>
          </w:p>
          <w:p w14:paraId="0444FE75"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能阐释货运计划的内涵与作用。</w:t>
            </w:r>
          </w:p>
          <w:p w14:paraId="65E27BE9" w14:textId="77777777" w:rsidR="00050759" w:rsidRDefault="00050759">
            <w:pPr>
              <w:adjustRightInd w:val="0"/>
              <w:snapToGrid w:val="0"/>
              <w:jc w:val="left"/>
              <w:rPr>
                <w:rFonts w:ascii="宋体" w:eastAsia="宋体" w:hAnsi="宋体" w:cs="Times New Roman"/>
                <w:b/>
                <w:bCs/>
                <w:szCs w:val="21"/>
              </w:rPr>
            </w:pPr>
          </w:p>
        </w:tc>
        <w:tc>
          <w:tcPr>
            <w:tcW w:w="909" w:type="pct"/>
            <w:vMerge w:val="restart"/>
          </w:tcPr>
          <w:p w14:paraId="3CB8765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培养学生严谨务实的科学作风；使学生懂得任何理论都存在局限性。</w:t>
            </w:r>
          </w:p>
        </w:tc>
        <w:tc>
          <w:tcPr>
            <w:tcW w:w="404" w:type="pct"/>
            <w:vAlign w:val="center"/>
          </w:tcPr>
          <w:p w14:paraId="0BA068CF"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4</w:t>
            </w:r>
          </w:p>
        </w:tc>
      </w:tr>
      <w:tr w:rsidR="00050759" w14:paraId="6B69D343" w14:textId="77777777">
        <w:trPr>
          <w:jc w:val="center"/>
        </w:trPr>
        <w:tc>
          <w:tcPr>
            <w:tcW w:w="202" w:type="pct"/>
            <w:vAlign w:val="center"/>
          </w:tcPr>
          <w:p w14:paraId="1C8844BB"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27</w:t>
            </w:r>
          </w:p>
        </w:tc>
        <w:tc>
          <w:tcPr>
            <w:tcW w:w="1061" w:type="pct"/>
          </w:tcPr>
          <w:p w14:paraId="32C172F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技术计划数量指标：</w:t>
            </w:r>
          </w:p>
          <w:p w14:paraId="4263DD3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技术计划的概念</w:t>
            </w:r>
          </w:p>
          <w:p w14:paraId="0C2B953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使用车计划、卸空车计划及工作量</w:t>
            </w:r>
          </w:p>
          <w:p w14:paraId="7F0895A7"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空车调整计划、分界站交接货车数及列数</w:t>
            </w:r>
          </w:p>
        </w:tc>
        <w:tc>
          <w:tcPr>
            <w:tcW w:w="555" w:type="pct"/>
          </w:tcPr>
          <w:p w14:paraId="076221B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空车调整计划</w:t>
            </w:r>
          </w:p>
          <w:p w14:paraId="5AB4B25D"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hint="eastAsia"/>
                <w:szCs w:val="21"/>
              </w:rPr>
              <w:t>)</w:t>
            </w:r>
            <w:r>
              <w:rPr>
                <w:rFonts w:ascii="宋体" w:eastAsia="宋体" w:hAnsi="宋体" w:cs="Times New Roman"/>
                <w:szCs w:val="21"/>
              </w:rPr>
              <w:t>分界站交接货车数及列数</w:t>
            </w:r>
          </w:p>
        </w:tc>
        <w:tc>
          <w:tcPr>
            <w:tcW w:w="1869" w:type="pct"/>
          </w:tcPr>
          <w:p w14:paraId="612B72CC"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能推算重空车流，能编制铁路运输生产技术计划，能计算技术计划的相关统计指标；</w:t>
            </w:r>
          </w:p>
          <w:p w14:paraId="5ADFF438"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通过重空车流调整的学习，培养协调合作的意识。</w:t>
            </w:r>
          </w:p>
        </w:tc>
        <w:tc>
          <w:tcPr>
            <w:tcW w:w="909" w:type="pct"/>
            <w:vMerge/>
            <w:vAlign w:val="center"/>
          </w:tcPr>
          <w:p w14:paraId="5CA8E8B3"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56F40B7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7</w:t>
            </w:r>
          </w:p>
        </w:tc>
      </w:tr>
      <w:tr w:rsidR="00050759" w14:paraId="1CE1122C" w14:textId="77777777">
        <w:trPr>
          <w:jc w:val="center"/>
        </w:trPr>
        <w:tc>
          <w:tcPr>
            <w:tcW w:w="202" w:type="pct"/>
            <w:vAlign w:val="center"/>
          </w:tcPr>
          <w:p w14:paraId="55DAA028"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28</w:t>
            </w:r>
          </w:p>
        </w:tc>
        <w:tc>
          <w:tcPr>
            <w:tcW w:w="1061" w:type="pct"/>
          </w:tcPr>
          <w:p w14:paraId="3F3F113F"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技术计划质量指标：</w:t>
            </w:r>
          </w:p>
          <w:p w14:paraId="71857B3F"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货车周转时间</w:t>
            </w:r>
          </w:p>
          <w:p w14:paraId="28D6062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管内工作车、移交车、空车周转时间</w:t>
            </w:r>
          </w:p>
          <w:p w14:paraId="35B750D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货车周转时间各项因素的确定</w:t>
            </w:r>
          </w:p>
        </w:tc>
        <w:tc>
          <w:tcPr>
            <w:tcW w:w="555" w:type="pct"/>
          </w:tcPr>
          <w:p w14:paraId="54A57BA2"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货车周转时间</w:t>
            </w:r>
          </w:p>
          <w:p w14:paraId="6B84D7C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管内工作车、移交车、空车周转时间</w:t>
            </w:r>
          </w:p>
        </w:tc>
        <w:tc>
          <w:tcPr>
            <w:tcW w:w="1869" w:type="pct"/>
          </w:tcPr>
          <w:p w14:paraId="6256FD0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技能领域：</w:t>
            </w:r>
            <w:r>
              <w:rPr>
                <w:rFonts w:ascii="宋体" w:eastAsia="宋体" w:hAnsi="宋体" w:cs="Times New Roman"/>
                <w:szCs w:val="21"/>
              </w:rPr>
              <w:t>能计算货车周转时间，管内工作车周转时间、移交车周转时间、空车周转时间；</w:t>
            </w:r>
          </w:p>
          <w:p w14:paraId="3E34F830"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能辨析货车周转时间的主观因素与客观因素，结合生产实际提出压缩货车周转时间的建议。</w:t>
            </w:r>
          </w:p>
        </w:tc>
        <w:tc>
          <w:tcPr>
            <w:tcW w:w="909" w:type="pct"/>
            <w:vMerge/>
            <w:vAlign w:val="center"/>
          </w:tcPr>
          <w:p w14:paraId="112227B3"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6659C4D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4</w:t>
            </w:r>
            <w:r>
              <w:rPr>
                <w:rFonts w:ascii="宋体" w:eastAsia="宋体" w:hAnsi="宋体" w:cs="Times New Roman"/>
                <w:szCs w:val="21"/>
              </w:rPr>
              <w:t>、</w:t>
            </w:r>
            <w:r>
              <w:rPr>
                <w:rFonts w:ascii="宋体" w:eastAsia="宋体" w:hAnsi="宋体" w:cs="Times New Roman"/>
                <w:szCs w:val="21"/>
              </w:rPr>
              <w:t>6</w:t>
            </w:r>
          </w:p>
        </w:tc>
      </w:tr>
      <w:tr w:rsidR="00050759" w14:paraId="24F981D3" w14:textId="77777777">
        <w:trPr>
          <w:jc w:val="center"/>
        </w:trPr>
        <w:tc>
          <w:tcPr>
            <w:tcW w:w="202" w:type="pct"/>
            <w:vAlign w:val="center"/>
          </w:tcPr>
          <w:p w14:paraId="0182DFF4"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29</w:t>
            </w:r>
          </w:p>
        </w:tc>
        <w:tc>
          <w:tcPr>
            <w:tcW w:w="1061" w:type="pct"/>
          </w:tcPr>
          <w:p w14:paraId="14D64F70"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运用车及机车</w:t>
            </w:r>
            <w:r>
              <w:rPr>
                <w:rFonts w:ascii="宋体" w:eastAsia="宋体" w:hAnsi="宋体" w:cs="Times New Roman" w:hint="eastAsia"/>
                <w:szCs w:val="21"/>
              </w:rPr>
              <w:t>：</w:t>
            </w:r>
          </w:p>
          <w:p w14:paraId="7CB22D37"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运用车保有量计划</w:t>
            </w:r>
          </w:p>
          <w:p w14:paraId="5A7D7EC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机车运用计划</w:t>
            </w:r>
          </w:p>
          <w:p w14:paraId="1B7611E2"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运输方案</w:t>
            </w:r>
          </w:p>
          <w:p w14:paraId="1B98C04E"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运输方案的内涵</w:t>
            </w:r>
          </w:p>
          <w:p w14:paraId="4E162276"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szCs w:val="21"/>
              </w:rPr>
              <w:t>运输方案的编制与调整</w:t>
            </w:r>
          </w:p>
        </w:tc>
        <w:tc>
          <w:tcPr>
            <w:tcW w:w="555" w:type="pct"/>
          </w:tcPr>
          <w:p w14:paraId="4234F690"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机车运用计划</w:t>
            </w:r>
          </w:p>
          <w:p w14:paraId="04E3C92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课程设计三的布置与讲解</w:t>
            </w:r>
          </w:p>
        </w:tc>
        <w:tc>
          <w:tcPr>
            <w:tcW w:w="1869" w:type="pct"/>
          </w:tcPr>
          <w:p w14:paraId="31A8CB04"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能解释运输方案的内涵；</w:t>
            </w:r>
          </w:p>
          <w:p w14:paraId="338116DF"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技能领域：</w:t>
            </w:r>
            <w:r>
              <w:rPr>
                <w:rFonts w:ascii="宋体" w:eastAsia="宋体" w:hAnsi="宋体" w:cs="Times New Roman"/>
                <w:szCs w:val="21"/>
              </w:rPr>
              <w:t>能计算运用车保有量，能编制与调整运输方案；</w:t>
            </w:r>
          </w:p>
          <w:p w14:paraId="7A57283F"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深刻理解科学管理方法在铁路系统中的地位与作用。</w:t>
            </w:r>
          </w:p>
        </w:tc>
        <w:tc>
          <w:tcPr>
            <w:tcW w:w="909" w:type="pct"/>
            <w:vMerge/>
            <w:vAlign w:val="center"/>
          </w:tcPr>
          <w:p w14:paraId="7CB004C6"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07B424E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6</w:t>
            </w:r>
          </w:p>
        </w:tc>
      </w:tr>
      <w:tr w:rsidR="00050759" w14:paraId="03FF73AA" w14:textId="77777777">
        <w:trPr>
          <w:jc w:val="center"/>
        </w:trPr>
        <w:tc>
          <w:tcPr>
            <w:tcW w:w="202" w:type="pct"/>
            <w:vAlign w:val="center"/>
          </w:tcPr>
          <w:p w14:paraId="12F63A72"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30</w:t>
            </w:r>
          </w:p>
        </w:tc>
        <w:tc>
          <w:tcPr>
            <w:tcW w:w="1061" w:type="pct"/>
          </w:tcPr>
          <w:p w14:paraId="0B2CE32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铁路运输调度工作：</w:t>
            </w:r>
          </w:p>
          <w:p w14:paraId="5412604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铁路运输调度概况</w:t>
            </w:r>
          </w:p>
          <w:p w14:paraId="60043DDC"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铁路运输调度的机构设置及任务</w:t>
            </w:r>
          </w:p>
          <w:p w14:paraId="1DC6185C"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车流预测</w:t>
            </w:r>
          </w:p>
          <w:p w14:paraId="53A1496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车流调整</w:t>
            </w:r>
          </w:p>
        </w:tc>
        <w:tc>
          <w:tcPr>
            <w:tcW w:w="555" w:type="pct"/>
          </w:tcPr>
          <w:p w14:paraId="6D8AC9CA"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车流调整</w:t>
            </w:r>
          </w:p>
        </w:tc>
        <w:tc>
          <w:tcPr>
            <w:tcW w:w="1869" w:type="pct"/>
          </w:tcPr>
          <w:p w14:paraId="006C3981"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b/>
                <w:bCs/>
                <w:szCs w:val="21"/>
              </w:rPr>
              <w:t>:</w:t>
            </w:r>
            <w:r>
              <w:rPr>
                <w:rFonts w:ascii="宋体" w:eastAsia="宋体" w:hAnsi="宋体" w:cs="Times New Roman"/>
                <w:szCs w:val="21"/>
              </w:rPr>
              <w:t>能列明铁路运输调度工作的内容，阐明铁路运输调度的一般组织结构，解释行车调度指挥自动化内涵；</w:t>
            </w:r>
          </w:p>
          <w:p w14:paraId="52E6CBB9"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能运用车流预测、车流调整的方法及列车运行调整的一般策略；</w:t>
            </w:r>
          </w:p>
          <w:p w14:paraId="7B226B72"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关联车流调整与列车调整，培养调度指挥工作中的系统意识。</w:t>
            </w:r>
          </w:p>
        </w:tc>
        <w:tc>
          <w:tcPr>
            <w:tcW w:w="909" w:type="pct"/>
          </w:tcPr>
          <w:p w14:paraId="7280E7A7"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结合调度员的工作内容、工作强度，培养学生作为铁路人的奉献精神及社会责任。</w:t>
            </w:r>
          </w:p>
        </w:tc>
        <w:tc>
          <w:tcPr>
            <w:tcW w:w="404" w:type="pct"/>
            <w:vAlign w:val="center"/>
          </w:tcPr>
          <w:p w14:paraId="5643D998"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1</w:t>
            </w:r>
            <w:r>
              <w:rPr>
                <w:rFonts w:ascii="宋体" w:eastAsia="宋体" w:hAnsi="宋体" w:cs="Times New Roman"/>
                <w:szCs w:val="21"/>
              </w:rPr>
              <w:t>、</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7</w:t>
            </w:r>
          </w:p>
        </w:tc>
      </w:tr>
      <w:tr w:rsidR="00050759" w14:paraId="3F08109E" w14:textId="77777777">
        <w:trPr>
          <w:jc w:val="center"/>
        </w:trPr>
        <w:tc>
          <w:tcPr>
            <w:tcW w:w="202" w:type="pct"/>
            <w:vAlign w:val="center"/>
          </w:tcPr>
          <w:p w14:paraId="7A04F342"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31</w:t>
            </w:r>
          </w:p>
        </w:tc>
        <w:tc>
          <w:tcPr>
            <w:tcW w:w="1061" w:type="pct"/>
          </w:tcPr>
          <w:p w14:paraId="2AF51527"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运输工作日常计划</w:t>
            </w:r>
          </w:p>
          <w:p w14:paraId="17393B7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日计划编制</w:t>
            </w:r>
          </w:p>
          <w:p w14:paraId="09ABAE03"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列车运行调整概述</w:t>
            </w:r>
          </w:p>
          <w:p w14:paraId="1A3F51C7"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行车指挥自动化</w:t>
            </w:r>
          </w:p>
          <w:p w14:paraId="0A310AF9"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w:t>
            </w:r>
            <w:r>
              <w:rPr>
                <w:rFonts w:ascii="宋体" w:eastAsia="宋体" w:hAnsi="宋体" w:cs="Times New Roman"/>
                <w:szCs w:val="21"/>
              </w:rPr>
              <w:t>调度集中系统（</w:t>
            </w:r>
            <w:r>
              <w:rPr>
                <w:rFonts w:ascii="宋体" w:eastAsia="宋体" w:hAnsi="宋体" w:cs="Times New Roman"/>
                <w:szCs w:val="21"/>
              </w:rPr>
              <w:t>CTC</w:t>
            </w:r>
            <w:r>
              <w:rPr>
                <w:rFonts w:ascii="宋体" w:eastAsia="宋体" w:hAnsi="宋体" w:cs="Times New Roman"/>
                <w:szCs w:val="21"/>
              </w:rPr>
              <w:t>）</w:t>
            </w:r>
          </w:p>
          <w:p w14:paraId="167EB77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szCs w:val="21"/>
              </w:rPr>
              <w:t>列车运行控制概述</w:t>
            </w:r>
          </w:p>
          <w:p w14:paraId="1651353D"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hint="eastAsia"/>
                <w:szCs w:val="21"/>
              </w:rPr>
              <w:t>6</w:t>
            </w:r>
            <w:r>
              <w:rPr>
                <w:rFonts w:ascii="宋体" w:eastAsia="宋体" w:hAnsi="宋体" w:cs="Times New Roman"/>
                <w:szCs w:val="21"/>
              </w:rPr>
              <w:t>)</w:t>
            </w:r>
            <w:r>
              <w:rPr>
                <w:rFonts w:ascii="宋体" w:eastAsia="宋体" w:hAnsi="宋体" w:cs="Times New Roman"/>
                <w:szCs w:val="21"/>
              </w:rPr>
              <w:t>运输统计与分析</w:t>
            </w:r>
          </w:p>
        </w:tc>
        <w:tc>
          <w:tcPr>
            <w:tcW w:w="555" w:type="pct"/>
          </w:tcPr>
          <w:p w14:paraId="447412F1"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运输工作日常计划</w:t>
            </w:r>
          </w:p>
          <w:p w14:paraId="340780B7"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hint="eastAsia"/>
                <w:szCs w:val="21"/>
              </w:rPr>
              <w:t>)</w:t>
            </w:r>
            <w:r>
              <w:rPr>
                <w:rFonts w:ascii="宋体" w:eastAsia="宋体" w:hAnsi="宋体" w:cs="Times New Roman"/>
                <w:szCs w:val="21"/>
              </w:rPr>
              <w:t>运输统计与分析</w:t>
            </w:r>
          </w:p>
        </w:tc>
        <w:tc>
          <w:tcPr>
            <w:tcW w:w="1869" w:type="pct"/>
          </w:tcPr>
          <w:p w14:paraId="1EE1CC2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能说明高速铁路调度指挥内涵；</w:t>
            </w:r>
          </w:p>
          <w:p w14:paraId="57623F5F"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能运用高速铁路调度指挥一般策略；</w:t>
            </w:r>
          </w:p>
          <w:p w14:paraId="6F2610BA"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情意领域：</w:t>
            </w:r>
            <w:r>
              <w:rPr>
                <w:rFonts w:ascii="宋体" w:eastAsia="宋体" w:hAnsi="宋体" w:cs="Times New Roman"/>
                <w:szCs w:val="21"/>
              </w:rPr>
              <w:t>能对比传统数学方法与数据驱动方法下的高速铁路列车运行调整理论与方法，展望智能调度的发展，培养创新意识和行业自信。</w:t>
            </w:r>
          </w:p>
          <w:p w14:paraId="225C9B05" w14:textId="77777777" w:rsidR="00050759" w:rsidRDefault="00050759">
            <w:pPr>
              <w:adjustRightInd w:val="0"/>
              <w:snapToGrid w:val="0"/>
              <w:jc w:val="left"/>
              <w:rPr>
                <w:rFonts w:ascii="宋体" w:eastAsia="宋体" w:hAnsi="宋体" w:cs="Times New Roman"/>
                <w:b/>
                <w:bCs/>
                <w:szCs w:val="21"/>
              </w:rPr>
            </w:pPr>
          </w:p>
        </w:tc>
        <w:tc>
          <w:tcPr>
            <w:tcW w:w="909" w:type="pct"/>
            <w:vMerge w:val="restart"/>
          </w:tcPr>
          <w:p w14:paraId="55B3D493"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结合我国高铁的发展以及铁路智能化的进程，培养学生的道路自信、理论自信、制度自信、文化自信。</w:t>
            </w:r>
          </w:p>
          <w:p w14:paraId="6EEEE95C"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color w:val="000000" w:themeColor="text1"/>
                <w:szCs w:val="21"/>
              </w:rPr>
              <w:t>（邀请列车调度员进行线上或线下讲座介绍列车运行调整及列车调度员的相关职能）</w:t>
            </w:r>
          </w:p>
        </w:tc>
        <w:tc>
          <w:tcPr>
            <w:tcW w:w="404" w:type="pct"/>
            <w:vAlign w:val="center"/>
          </w:tcPr>
          <w:p w14:paraId="5E7B6615"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2</w:t>
            </w:r>
            <w:r>
              <w:rPr>
                <w:rFonts w:ascii="宋体" w:eastAsia="宋体" w:hAnsi="宋体" w:cs="Times New Roman"/>
                <w:szCs w:val="21"/>
              </w:rPr>
              <w:t>、</w:t>
            </w:r>
            <w:r>
              <w:rPr>
                <w:rFonts w:ascii="宋体" w:eastAsia="宋体" w:hAnsi="宋体" w:cs="Times New Roman"/>
                <w:szCs w:val="21"/>
              </w:rPr>
              <w:t>3</w:t>
            </w:r>
            <w:r>
              <w:rPr>
                <w:rFonts w:ascii="宋体" w:eastAsia="宋体" w:hAnsi="宋体" w:cs="Times New Roman"/>
                <w:szCs w:val="21"/>
              </w:rPr>
              <w:t>、</w:t>
            </w:r>
            <w:r>
              <w:rPr>
                <w:rFonts w:ascii="宋体" w:eastAsia="宋体" w:hAnsi="宋体" w:cs="Times New Roman"/>
                <w:szCs w:val="21"/>
              </w:rPr>
              <w:t>6</w:t>
            </w:r>
            <w:r>
              <w:rPr>
                <w:rFonts w:ascii="宋体" w:eastAsia="宋体" w:hAnsi="宋体" w:cs="Times New Roman"/>
                <w:szCs w:val="21"/>
              </w:rPr>
              <w:t>、</w:t>
            </w:r>
            <w:r>
              <w:rPr>
                <w:rFonts w:ascii="宋体" w:eastAsia="宋体" w:hAnsi="宋体" w:cs="Times New Roman"/>
                <w:szCs w:val="21"/>
              </w:rPr>
              <w:t>7</w:t>
            </w:r>
          </w:p>
        </w:tc>
      </w:tr>
      <w:tr w:rsidR="00050759" w14:paraId="33336C60" w14:textId="77777777">
        <w:trPr>
          <w:jc w:val="center"/>
        </w:trPr>
        <w:tc>
          <w:tcPr>
            <w:tcW w:w="202" w:type="pct"/>
            <w:vAlign w:val="center"/>
          </w:tcPr>
          <w:p w14:paraId="337240D6"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32</w:t>
            </w:r>
          </w:p>
        </w:tc>
        <w:tc>
          <w:tcPr>
            <w:tcW w:w="1061" w:type="pct"/>
          </w:tcPr>
          <w:p w14:paraId="412E1780"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高速铁路调度指挥系统：</w:t>
            </w:r>
          </w:p>
          <w:p w14:paraId="20486776"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1</w:t>
            </w:r>
            <w:r>
              <w:rPr>
                <w:rFonts w:ascii="宋体" w:eastAsia="宋体" w:hAnsi="宋体" w:cs="Times New Roman"/>
                <w:szCs w:val="21"/>
              </w:rPr>
              <w:t>)</w:t>
            </w:r>
            <w:r>
              <w:rPr>
                <w:rFonts w:ascii="宋体" w:eastAsia="宋体" w:hAnsi="宋体" w:cs="Times New Roman"/>
                <w:szCs w:val="21"/>
              </w:rPr>
              <w:t>高速铁路调度指挥概述</w:t>
            </w:r>
          </w:p>
          <w:p w14:paraId="14B5EB2B"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szCs w:val="21"/>
              </w:rPr>
              <w:t>高铁调度指挥体系理论</w:t>
            </w:r>
          </w:p>
          <w:p w14:paraId="220B872C"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3</w:t>
            </w:r>
            <w:r>
              <w:rPr>
                <w:rFonts w:ascii="宋体" w:eastAsia="宋体" w:hAnsi="宋体" w:cs="Times New Roman"/>
                <w:szCs w:val="21"/>
              </w:rPr>
              <w:t>)</w:t>
            </w:r>
            <w:r>
              <w:rPr>
                <w:rFonts w:ascii="宋体" w:eastAsia="宋体" w:hAnsi="宋体" w:cs="Times New Roman"/>
                <w:szCs w:val="21"/>
              </w:rPr>
              <w:t>中国高速铁路调度指挥系统</w:t>
            </w:r>
          </w:p>
          <w:p w14:paraId="2F4D5F74"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hint="eastAsia"/>
                <w:szCs w:val="21"/>
              </w:rPr>
              <w:t>4)</w:t>
            </w:r>
            <w:r>
              <w:rPr>
                <w:rFonts w:ascii="宋体" w:eastAsia="宋体" w:hAnsi="宋体" w:cs="Times New Roman"/>
                <w:szCs w:val="21"/>
              </w:rPr>
              <w:t>高速铁路列车调度指挥</w:t>
            </w:r>
          </w:p>
          <w:p w14:paraId="4653AF05"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5)</w:t>
            </w:r>
            <w:r>
              <w:rPr>
                <w:rFonts w:ascii="宋体" w:eastAsia="宋体" w:hAnsi="宋体" w:cs="Times New Roman"/>
                <w:szCs w:val="21"/>
              </w:rPr>
              <w:t>数据驱动的高速铁路列车运行调整理论</w:t>
            </w:r>
          </w:p>
        </w:tc>
        <w:tc>
          <w:tcPr>
            <w:tcW w:w="555" w:type="pct"/>
          </w:tcPr>
          <w:p w14:paraId="136E3068" w14:textId="77777777" w:rsidR="00050759" w:rsidRDefault="0064082D">
            <w:pPr>
              <w:tabs>
                <w:tab w:val="left" w:pos="0"/>
              </w:tabs>
              <w:adjustRightInd w:val="0"/>
              <w:snapToGrid w:val="0"/>
              <w:jc w:val="left"/>
              <w:rPr>
                <w:rFonts w:ascii="宋体" w:eastAsia="宋体" w:hAnsi="宋体" w:cs="Times New Roman"/>
                <w:szCs w:val="21"/>
              </w:rPr>
            </w:pPr>
            <w:r>
              <w:rPr>
                <w:rFonts w:ascii="宋体" w:eastAsia="宋体" w:hAnsi="宋体" w:cs="Times New Roman"/>
                <w:szCs w:val="21"/>
              </w:rPr>
              <w:t>中国高速铁路调度指挥系统</w:t>
            </w:r>
          </w:p>
        </w:tc>
        <w:tc>
          <w:tcPr>
            <w:tcW w:w="1869" w:type="pct"/>
          </w:tcPr>
          <w:p w14:paraId="0543B43E"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b/>
                <w:bCs/>
                <w:szCs w:val="21"/>
              </w:rPr>
              <w:t>认知领域：</w:t>
            </w:r>
            <w:r>
              <w:rPr>
                <w:rFonts w:ascii="宋体" w:eastAsia="宋体" w:hAnsi="宋体" w:cs="Times New Roman"/>
                <w:szCs w:val="21"/>
              </w:rPr>
              <w:t>能说明高速铁路调度指挥内涵；</w:t>
            </w:r>
          </w:p>
          <w:p w14:paraId="11665351"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技能领域：</w:t>
            </w:r>
            <w:r>
              <w:rPr>
                <w:rFonts w:ascii="宋体" w:eastAsia="宋体" w:hAnsi="宋体" w:cs="Times New Roman"/>
                <w:szCs w:val="21"/>
              </w:rPr>
              <w:t>能运用高速铁路调度指挥一般策略；</w:t>
            </w:r>
          </w:p>
          <w:p w14:paraId="1D970506" w14:textId="77777777" w:rsidR="00050759" w:rsidRDefault="0064082D">
            <w:pPr>
              <w:adjustRightInd w:val="0"/>
              <w:snapToGrid w:val="0"/>
              <w:jc w:val="left"/>
              <w:rPr>
                <w:rFonts w:ascii="宋体" w:eastAsia="宋体" w:hAnsi="宋体" w:cs="Times New Roman"/>
                <w:b/>
                <w:bCs/>
                <w:szCs w:val="21"/>
              </w:rPr>
            </w:pPr>
            <w:r>
              <w:rPr>
                <w:rFonts w:ascii="宋体" w:eastAsia="宋体" w:hAnsi="宋体" w:cs="Times New Roman"/>
                <w:b/>
                <w:bCs/>
                <w:szCs w:val="21"/>
              </w:rPr>
              <w:t>情意领域：</w:t>
            </w:r>
            <w:r>
              <w:rPr>
                <w:rFonts w:ascii="宋体" w:eastAsia="宋体" w:hAnsi="宋体" w:cs="Times New Roman"/>
                <w:szCs w:val="21"/>
              </w:rPr>
              <w:t>深刻理解我国的调度指挥发展历程就是铁路采用科技兴业的发展历程，深刻感受一辈辈铁路人的艰辛努力和奉献精神。</w:t>
            </w:r>
          </w:p>
        </w:tc>
        <w:tc>
          <w:tcPr>
            <w:tcW w:w="909" w:type="pct"/>
            <w:vMerge/>
            <w:vAlign w:val="center"/>
          </w:tcPr>
          <w:p w14:paraId="45A86C4E" w14:textId="77777777" w:rsidR="00050759" w:rsidRDefault="00050759">
            <w:pPr>
              <w:adjustRightInd w:val="0"/>
              <w:snapToGrid w:val="0"/>
              <w:jc w:val="left"/>
              <w:rPr>
                <w:rFonts w:ascii="宋体" w:eastAsia="宋体" w:hAnsi="宋体" w:cs="Times New Roman"/>
                <w:szCs w:val="21"/>
              </w:rPr>
            </w:pPr>
          </w:p>
        </w:tc>
        <w:tc>
          <w:tcPr>
            <w:tcW w:w="404" w:type="pct"/>
            <w:vAlign w:val="center"/>
          </w:tcPr>
          <w:p w14:paraId="694FBDDB" w14:textId="77777777" w:rsidR="00050759" w:rsidRDefault="0064082D">
            <w:pPr>
              <w:adjustRightInd w:val="0"/>
              <w:snapToGrid w:val="0"/>
              <w:jc w:val="left"/>
              <w:rPr>
                <w:rFonts w:ascii="宋体" w:eastAsia="宋体" w:hAnsi="宋体" w:cs="Times New Roman"/>
                <w:szCs w:val="21"/>
              </w:rPr>
            </w:pPr>
            <w:r>
              <w:rPr>
                <w:rFonts w:ascii="宋体" w:eastAsia="宋体" w:hAnsi="宋体" w:cs="Times New Roman"/>
                <w:szCs w:val="21"/>
              </w:rPr>
              <w:t>目标</w:t>
            </w:r>
            <w:r>
              <w:rPr>
                <w:rFonts w:ascii="宋体" w:eastAsia="宋体" w:hAnsi="宋体" w:cs="Times New Roman"/>
                <w:szCs w:val="21"/>
              </w:rPr>
              <w:t>5</w:t>
            </w:r>
            <w:r>
              <w:rPr>
                <w:rFonts w:ascii="宋体" w:eastAsia="宋体" w:hAnsi="宋体" w:cs="Times New Roman"/>
                <w:szCs w:val="21"/>
              </w:rPr>
              <w:t>、</w:t>
            </w:r>
            <w:r>
              <w:rPr>
                <w:rFonts w:ascii="宋体" w:eastAsia="宋体" w:hAnsi="宋体" w:cs="Times New Roman"/>
                <w:szCs w:val="21"/>
              </w:rPr>
              <w:t>7</w:t>
            </w:r>
          </w:p>
        </w:tc>
      </w:tr>
    </w:tbl>
    <w:p w14:paraId="56D17557" w14:textId="77777777" w:rsidR="00050759" w:rsidRDefault="00050759">
      <w:pPr>
        <w:adjustRightInd w:val="0"/>
        <w:snapToGrid w:val="0"/>
        <w:spacing w:line="360" w:lineRule="auto"/>
        <w:jc w:val="center"/>
        <w:rPr>
          <w:rFonts w:ascii="Times New Roman" w:hAnsi="Times New Roman" w:cs="Times New Roman"/>
          <w:szCs w:val="21"/>
        </w:rPr>
      </w:pPr>
    </w:p>
    <w:p w14:paraId="3C8F7BF9" w14:textId="77777777" w:rsidR="00050759" w:rsidRDefault="00050759">
      <w:pPr>
        <w:pStyle w:val="2"/>
        <w:numPr>
          <w:ilvl w:val="0"/>
          <w:numId w:val="2"/>
        </w:numPr>
        <w:rPr>
          <w:rFonts w:ascii="Times New Roman" w:hAnsi="Times New Roman" w:cs="Times New Roman"/>
        </w:rPr>
        <w:sectPr w:rsidR="00050759">
          <w:pgSz w:w="16838" w:h="11906" w:orient="landscape"/>
          <w:pgMar w:top="1797" w:right="1440" w:bottom="1797" w:left="1440" w:header="851" w:footer="992" w:gutter="0"/>
          <w:cols w:space="0"/>
          <w:docGrid w:type="linesAndChars" w:linePitch="319"/>
        </w:sectPr>
      </w:pPr>
    </w:p>
    <w:p w14:paraId="6793D27A" w14:textId="77777777" w:rsidR="00050759" w:rsidRDefault="0064082D">
      <w:pPr>
        <w:pStyle w:val="1"/>
        <w:spacing w:beforeLines="75" w:before="239" w:afterLines="25" w:after="79"/>
        <w:rPr>
          <w:rFonts w:ascii="Times New Roman" w:hAnsi="Times New Roman" w:cs="Times New Roman"/>
          <w:szCs w:val="24"/>
        </w:rPr>
      </w:pPr>
      <w:r>
        <w:rPr>
          <w:rFonts w:ascii="Times New Roman" w:hAnsi="Times New Roman" w:cs="Times New Roman" w:hint="eastAsia"/>
          <w:szCs w:val="24"/>
        </w:rPr>
        <w:t>五、</w:t>
      </w:r>
      <w:r>
        <w:rPr>
          <w:rFonts w:ascii="Times New Roman" w:hAnsi="Times New Roman" w:cs="Times New Roman"/>
          <w:szCs w:val="24"/>
        </w:rPr>
        <w:t>成绩评定与反馈</w:t>
      </w:r>
      <w:r>
        <w:rPr>
          <w:rFonts w:ascii="Times New Roman" w:hAnsi="Times New Roman" w:cs="Times New Roman"/>
          <w:szCs w:val="24"/>
        </w:rPr>
        <w:t xml:space="preserve"> </w:t>
      </w:r>
    </w:p>
    <w:p w14:paraId="2CFE760D"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课程</w:t>
      </w:r>
      <w:r>
        <w:rPr>
          <w:rFonts w:ascii="Times New Roman" w:hAnsi="Times New Roman" w:cs="Times New Roman"/>
          <w:sz w:val="24"/>
          <w:szCs w:val="24"/>
        </w:rPr>
        <w:t>目标、</w:t>
      </w:r>
      <w:r>
        <w:rPr>
          <w:rFonts w:ascii="Times New Roman" w:hAnsi="Times New Roman" w:cs="Times New Roman" w:hint="eastAsia"/>
          <w:sz w:val="24"/>
          <w:szCs w:val="24"/>
        </w:rPr>
        <w:t>成绩</w:t>
      </w:r>
      <w:r>
        <w:rPr>
          <w:rFonts w:ascii="Times New Roman" w:hAnsi="Times New Roman" w:cs="Times New Roman"/>
          <w:sz w:val="24"/>
          <w:szCs w:val="24"/>
        </w:rPr>
        <w:t>评定与反馈</w:t>
      </w:r>
      <w:r>
        <w:rPr>
          <w:rFonts w:ascii="Times New Roman" w:hAnsi="Times New Roman" w:cs="Times New Roman" w:hint="eastAsia"/>
          <w:sz w:val="24"/>
          <w:szCs w:val="24"/>
        </w:rPr>
        <w:t>应</w:t>
      </w:r>
      <w:r>
        <w:rPr>
          <w:rFonts w:ascii="Times New Roman" w:hAnsi="Times New Roman" w:cs="Times New Roman"/>
          <w:sz w:val="24"/>
          <w:szCs w:val="24"/>
        </w:rPr>
        <w:t>形成完整闭环</w:t>
      </w:r>
      <w:r>
        <w:rPr>
          <w:rFonts w:ascii="Times New Roman" w:hAnsi="Times New Roman" w:cs="Times New Roman" w:hint="eastAsia"/>
          <w:sz w:val="24"/>
          <w:szCs w:val="24"/>
        </w:rPr>
        <w:t>，促进教学质量持续改进。</w:t>
      </w:r>
    </w:p>
    <w:p w14:paraId="3903A17F"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教学目标应有考核环节对应，课程成绩评定应能够有效地促进学生学习，特别是引导学生进入深层次学习。</w:t>
      </w:r>
    </w:p>
    <w:p w14:paraId="5B5757A2"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本课程的各考核环节的成绩比例与课程目标之间的对应关系如表</w:t>
      </w:r>
      <w:r>
        <w:rPr>
          <w:rFonts w:ascii="Times New Roman" w:hAnsi="Times New Roman" w:cs="Times New Roman"/>
          <w:sz w:val="24"/>
          <w:szCs w:val="24"/>
        </w:rPr>
        <w:t>3</w:t>
      </w:r>
      <w:r>
        <w:rPr>
          <w:rFonts w:ascii="Times New Roman" w:hAnsi="Times New Roman" w:cs="Times New Roman"/>
          <w:sz w:val="24"/>
          <w:szCs w:val="24"/>
        </w:rPr>
        <w:t>所示。</w:t>
      </w:r>
    </w:p>
    <w:p w14:paraId="40C9BB2B" w14:textId="77777777" w:rsidR="00050759" w:rsidRDefault="0064082D">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szCs w:val="21"/>
        </w:rPr>
        <w:t xml:space="preserve">3 </w:t>
      </w:r>
      <w:r>
        <w:rPr>
          <w:rFonts w:ascii="Times New Roman" w:hAnsi="Times New Roman" w:cs="Times New Roman"/>
          <w:szCs w:val="21"/>
        </w:rPr>
        <w:t>课程考核与课程目标的对应关系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5478"/>
        <w:gridCol w:w="531"/>
        <w:gridCol w:w="495"/>
        <w:gridCol w:w="646"/>
        <w:gridCol w:w="591"/>
      </w:tblGrid>
      <w:tr w:rsidR="00050759" w14:paraId="0676DF87" w14:textId="77777777">
        <w:trPr>
          <w:trHeight w:val="378"/>
          <w:jc w:val="center"/>
        </w:trPr>
        <w:tc>
          <w:tcPr>
            <w:tcW w:w="338" w:type="pct"/>
            <w:vMerge w:val="restart"/>
            <w:tcBorders>
              <w:top w:val="single" w:sz="4" w:space="0" w:color="auto"/>
              <w:left w:val="single" w:sz="4" w:space="0" w:color="auto"/>
              <w:bottom w:val="single" w:sz="4" w:space="0" w:color="auto"/>
              <w:right w:val="single" w:sz="4" w:space="0" w:color="auto"/>
            </w:tcBorders>
            <w:vAlign w:val="center"/>
          </w:tcPr>
          <w:p w14:paraId="161E27E1" w14:textId="77777777" w:rsidR="00050759" w:rsidRDefault="0064082D">
            <w:pPr>
              <w:adjustRightInd w:val="0"/>
              <w:snapToGrid w:val="0"/>
              <w:spacing w:beforeLines="50" w:before="159" w:afterLines="50" w:after="159"/>
              <w:ind w:leftChars="-51" w:left="-107" w:rightChars="-52" w:right="-109"/>
              <w:jc w:val="center"/>
              <w:rPr>
                <w:rFonts w:asciiTheme="minorEastAsia" w:hAnsiTheme="minorEastAsia" w:cs="Times New Roman"/>
                <w:szCs w:val="21"/>
              </w:rPr>
            </w:pPr>
            <w:r>
              <w:rPr>
                <w:rFonts w:asciiTheme="minorEastAsia" w:hAnsiTheme="minorEastAsia" w:cs="Times New Roman"/>
                <w:szCs w:val="21"/>
              </w:rPr>
              <w:t>序号</w:t>
            </w:r>
          </w:p>
        </w:tc>
        <w:tc>
          <w:tcPr>
            <w:tcW w:w="3299" w:type="pct"/>
            <w:vMerge w:val="restart"/>
            <w:tcBorders>
              <w:top w:val="single" w:sz="4" w:space="0" w:color="auto"/>
              <w:left w:val="nil"/>
              <w:bottom w:val="single" w:sz="4" w:space="0" w:color="auto"/>
              <w:right w:val="single" w:sz="4" w:space="0" w:color="auto"/>
            </w:tcBorders>
            <w:vAlign w:val="center"/>
          </w:tcPr>
          <w:p w14:paraId="1DECB29D"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课程目标（支撑毕业要求指标点）</w:t>
            </w:r>
          </w:p>
        </w:tc>
        <w:tc>
          <w:tcPr>
            <w:tcW w:w="1007" w:type="pct"/>
            <w:gridSpan w:val="3"/>
            <w:tcBorders>
              <w:top w:val="single" w:sz="4" w:space="0" w:color="auto"/>
              <w:left w:val="nil"/>
              <w:bottom w:val="single" w:sz="4" w:space="0" w:color="auto"/>
              <w:right w:val="single" w:sz="4" w:space="0" w:color="auto"/>
            </w:tcBorders>
          </w:tcPr>
          <w:p w14:paraId="1C8CFCA4"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评价依据及成绩比例</w:t>
            </w:r>
          </w:p>
        </w:tc>
        <w:tc>
          <w:tcPr>
            <w:tcW w:w="356" w:type="pct"/>
            <w:vMerge w:val="restart"/>
            <w:tcBorders>
              <w:top w:val="single" w:sz="4" w:space="0" w:color="auto"/>
              <w:left w:val="nil"/>
              <w:bottom w:val="single" w:sz="4" w:space="0" w:color="auto"/>
              <w:right w:val="single" w:sz="4" w:space="0" w:color="auto"/>
            </w:tcBorders>
            <w:vAlign w:val="center"/>
          </w:tcPr>
          <w:p w14:paraId="67C4DD9E" w14:textId="77777777" w:rsidR="00050759" w:rsidRDefault="0064082D">
            <w:pPr>
              <w:adjustRightInd w:val="0"/>
              <w:snapToGrid w:val="0"/>
              <w:spacing w:beforeLines="50" w:before="159" w:afterLines="50" w:after="159"/>
              <w:ind w:leftChars="-51" w:left="-107" w:rightChars="-57" w:right="-120"/>
              <w:jc w:val="center"/>
              <w:rPr>
                <w:rFonts w:asciiTheme="minorEastAsia" w:hAnsiTheme="minorEastAsia" w:cs="Times New Roman"/>
                <w:szCs w:val="21"/>
              </w:rPr>
            </w:pPr>
            <w:r>
              <w:rPr>
                <w:rFonts w:asciiTheme="minorEastAsia" w:hAnsiTheme="minorEastAsia" w:cs="Times New Roman"/>
                <w:szCs w:val="21"/>
              </w:rPr>
              <w:t>成绩比例</w:t>
            </w:r>
            <w:r>
              <w:rPr>
                <w:rFonts w:asciiTheme="minorEastAsia" w:hAnsiTheme="minorEastAsia" w:cs="Times New Roman"/>
                <w:szCs w:val="21"/>
              </w:rPr>
              <w:t>(%)</w:t>
            </w:r>
          </w:p>
        </w:tc>
      </w:tr>
      <w:tr w:rsidR="00050759" w14:paraId="3FEFE1B9" w14:textId="77777777">
        <w:trPr>
          <w:trHeight w:val="628"/>
          <w:jc w:val="center"/>
        </w:trPr>
        <w:tc>
          <w:tcPr>
            <w:tcW w:w="338" w:type="pct"/>
            <w:vMerge/>
            <w:tcBorders>
              <w:top w:val="single" w:sz="4" w:space="0" w:color="auto"/>
              <w:left w:val="single" w:sz="4" w:space="0" w:color="auto"/>
              <w:bottom w:val="single" w:sz="4" w:space="0" w:color="auto"/>
              <w:right w:val="single" w:sz="4" w:space="0" w:color="auto"/>
            </w:tcBorders>
            <w:vAlign w:val="center"/>
          </w:tcPr>
          <w:p w14:paraId="1969EB74" w14:textId="77777777" w:rsidR="00050759" w:rsidRDefault="00050759">
            <w:pPr>
              <w:widowControl/>
              <w:adjustRightInd w:val="0"/>
              <w:snapToGrid w:val="0"/>
              <w:jc w:val="left"/>
              <w:rPr>
                <w:rFonts w:asciiTheme="minorEastAsia" w:hAnsiTheme="minorEastAsia" w:cs="Times New Roman"/>
                <w:szCs w:val="21"/>
              </w:rPr>
            </w:pPr>
          </w:p>
        </w:tc>
        <w:tc>
          <w:tcPr>
            <w:tcW w:w="3299" w:type="pct"/>
            <w:vMerge/>
            <w:tcBorders>
              <w:top w:val="single" w:sz="4" w:space="0" w:color="auto"/>
              <w:left w:val="nil"/>
              <w:bottom w:val="single" w:sz="4" w:space="0" w:color="auto"/>
              <w:right w:val="single" w:sz="4" w:space="0" w:color="auto"/>
            </w:tcBorders>
            <w:vAlign w:val="center"/>
          </w:tcPr>
          <w:p w14:paraId="0F7A7778" w14:textId="77777777" w:rsidR="00050759" w:rsidRDefault="00050759">
            <w:pPr>
              <w:widowControl/>
              <w:adjustRightInd w:val="0"/>
              <w:snapToGrid w:val="0"/>
              <w:jc w:val="left"/>
              <w:rPr>
                <w:rFonts w:asciiTheme="minorEastAsia" w:hAnsiTheme="minorEastAsia" w:cs="Times New Roman"/>
                <w:szCs w:val="21"/>
              </w:rPr>
            </w:pPr>
          </w:p>
        </w:tc>
        <w:tc>
          <w:tcPr>
            <w:tcW w:w="320" w:type="pct"/>
            <w:tcBorders>
              <w:top w:val="single" w:sz="4" w:space="0" w:color="auto"/>
              <w:left w:val="nil"/>
              <w:bottom w:val="single" w:sz="4" w:space="0" w:color="auto"/>
              <w:right w:val="single" w:sz="4" w:space="0" w:color="auto"/>
            </w:tcBorders>
          </w:tcPr>
          <w:p w14:paraId="6845DE27" w14:textId="77777777" w:rsidR="00050759" w:rsidRDefault="0064082D">
            <w:pPr>
              <w:adjustRightInd w:val="0"/>
              <w:snapToGrid w:val="0"/>
              <w:ind w:leftChars="-49" w:left="-103" w:rightChars="-42" w:right="-88"/>
              <w:jc w:val="center"/>
              <w:rPr>
                <w:rFonts w:asciiTheme="minorEastAsia" w:hAnsiTheme="minorEastAsia" w:cs="Times New Roman"/>
                <w:szCs w:val="21"/>
              </w:rPr>
            </w:pPr>
            <w:r>
              <w:rPr>
                <w:rFonts w:asciiTheme="minorEastAsia" w:hAnsiTheme="minorEastAsia" w:cs="Times New Roman"/>
                <w:szCs w:val="21"/>
              </w:rPr>
              <w:t>讨论</w:t>
            </w:r>
            <w:r>
              <w:rPr>
                <w:rFonts w:asciiTheme="minorEastAsia" w:hAnsiTheme="minorEastAsia" w:cs="Times New Roman"/>
                <w:szCs w:val="21"/>
              </w:rPr>
              <w:t>+</w:t>
            </w:r>
            <w:r>
              <w:rPr>
                <w:rFonts w:asciiTheme="minorEastAsia" w:hAnsiTheme="minorEastAsia" w:cs="Times New Roman"/>
                <w:szCs w:val="21"/>
              </w:rPr>
              <w:t>出勤</w:t>
            </w:r>
          </w:p>
        </w:tc>
        <w:tc>
          <w:tcPr>
            <w:tcW w:w="298" w:type="pct"/>
            <w:tcBorders>
              <w:top w:val="single" w:sz="4" w:space="0" w:color="auto"/>
              <w:left w:val="nil"/>
              <w:bottom w:val="single" w:sz="4" w:space="0" w:color="auto"/>
              <w:right w:val="single" w:sz="4" w:space="0" w:color="auto"/>
            </w:tcBorders>
            <w:vAlign w:val="center"/>
          </w:tcPr>
          <w:p w14:paraId="5B687AC6" w14:textId="77777777" w:rsidR="00050759" w:rsidRDefault="0064082D">
            <w:pPr>
              <w:adjustRightInd w:val="0"/>
              <w:snapToGrid w:val="0"/>
              <w:ind w:leftChars="-49" w:left="-103" w:rightChars="-42" w:right="-88"/>
              <w:jc w:val="center"/>
              <w:rPr>
                <w:rFonts w:asciiTheme="minorEastAsia" w:hAnsiTheme="minorEastAsia" w:cs="Times New Roman"/>
                <w:szCs w:val="21"/>
              </w:rPr>
            </w:pPr>
            <w:r>
              <w:rPr>
                <w:rFonts w:asciiTheme="minorEastAsia" w:hAnsiTheme="minorEastAsia" w:cs="Times New Roman"/>
                <w:szCs w:val="21"/>
              </w:rPr>
              <w:t>作业</w:t>
            </w:r>
          </w:p>
        </w:tc>
        <w:tc>
          <w:tcPr>
            <w:tcW w:w="389" w:type="pct"/>
            <w:tcBorders>
              <w:top w:val="single" w:sz="4" w:space="0" w:color="auto"/>
              <w:left w:val="nil"/>
              <w:bottom w:val="single" w:sz="4" w:space="0" w:color="auto"/>
              <w:right w:val="single" w:sz="4" w:space="0" w:color="auto"/>
            </w:tcBorders>
            <w:vAlign w:val="center"/>
          </w:tcPr>
          <w:p w14:paraId="523ADA64" w14:textId="77777777" w:rsidR="00050759" w:rsidRDefault="0064082D">
            <w:pPr>
              <w:adjustRightInd w:val="0"/>
              <w:snapToGrid w:val="0"/>
              <w:ind w:leftChars="-49" w:left="-103" w:rightChars="-42" w:right="-88"/>
              <w:jc w:val="center"/>
              <w:rPr>
                <w:rFonts w:asciiTheme="minorEastAsia" w:hAnsiTheme="minorEastAsia" w:cs="Times New Roman"/>
                <w:szCs w:val="21"/>
              </w:rPr>
            </w:pPr>
            <w:r>
              <w:rPr>
                <w:rFonts w:asciiTheme="minorEastAsia" w:hAnsiTheme="minorEastAsia" w:cs="Times New Roman"/>
                <w:szCs w:val="21"/>
              </w:rPr>
              <w:t>考试</w:t>
            </w:r>
          </w:p>
        </w:tc>
        <w:tc>
          <w:tcPr>
            <w:tcW w:w="356" w:type="pct"/>
            <w:vMerge/>
            <w:tcBorders>
              <w:top w:val="single" w:sz="4" w:space="0" w:color="auto"/>
              <w:left w:val="nil"/>
              <w:bottom w:val="single" w:sz="4" w:space="0" w:color="auto"/>
              <w:right w:val="single" w:sz="4" w:space="0" w:color="auto"/>
            </w:tcBorders>
            <w:vAlign w:val="center"/>
          </w:tcPr>
          <w:p w14:paraId="36D90DB6" w14:textId="77777777" w:rsidR="00050759" w:rsidRDefault="00050759">
            <w:pPr>
              <w:widowControl/>
              <w:adjustRightInd w:val="0"/>
              <w:snapToGrid w:val="0"/>
              <w:jc w:val="left"/>
              <w:rPr>
                <w:rFonts w:asciiTheme="minorEastAsia" w:hAnsiTheme="minorEastAsia" w:cs="Times New Roman"/>
                <w:szCs w:val="21"/>
              </w:rPr>
            </w:pPr>
          </w:p>
        </w:tc>
      </w:tr>
      <w:tr w:rsidR="00050759" w14:paraId="2F7F2B1E"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70B3518B"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1</w:t>
            </w:r>
          </w:p>
        </w:tc>
        <w:tc>
          <w:tcPr>
            <w:tcW w:w="3299" w:type="pct"/>
            <w:tcBorders>
              <w:top w:val="single" w:sz="4" w:space="0" w:color="auto"/>
              <w:left w:val="nil"/>
              <w:bottom w:val="single" w:sz="4" w:space="0" w:color="auto"/>
              <w:right w:val="single" w:sz="4" w:space="0" w:color="auto"/>
            </w:tcBorders>
          </w:tcPr>
          <w:p w14:paraId="2A4C2B72"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1</w:t>
            </w:r>
            <w:r>
              <w:rPr>
                <w:rFonts w:asciiTheme="minorEastAsia" w:hAnsiTheme="minorEastAsia" w:cs="Times New Roman"/>
                <w:szCs w:val="21"/>
              </w:rPr>
              <w:t>：通过本课程的学习，要求学生掌握铁路车站作业组织、车流组织、列车运行图编制、枢纽工作组织、车流调整及调度指挥等基本概念、基本原理和基本方法，并能对铁路运输组织生产过程中的相关问题进行描述；</w:t>
            </w:r>
          </w:p>
        </w:tc>
        <w:tc>
          <w:tcPr>
            <w:tcW w:w="320" w:type="pct"/>
            <w:tcBorders>
              <w:top w:val="single" w:sz="4" w:space="0" w:color="auto"/>
              <w:left w:val="nil"/>
              <w:bottom w:val="single" w:sz="4" w:space="0" w:color="auto"/>
              <w:right w:val="single" w:sz="4" w:space="0" w:color="auto"/>
            </w:tcBorders>
          </w:tcPr>
          <w:p w14:paraId="472B8842" w14:textId="77777777" w:rsidR="00050759" w:rsidRDefault="00050759">
            <w:pPr>
              <w:adjustRightInd w:val="0"/>
              <w:snapToGrid w:val="0"/>
              <w:jc w:val="center"/>
              <w:rPr>
                <w:rFonts w:asciiTheme="minorEastAsia" w:hAnsiTheme="minorEastAsia" w:cs="Times New Roman"/>
                <w:szCs w:val="21"/>
              </w:rPr>
            </w:pPr>
          </w:p>
        </w:tc>
        <w:tc>
          <w:tcPr>
            <w:tcW w:w="298" w:type="pct"/>
            <w:tcBorders>
              <w:top w:val="single" w:sz="4" w:space="0" w:color="auto"/>
              <w:left w:val="nil"/>
              <w:bottom w:val="single" w:sz="4" w:space="0" w:color="auto"/>
              <w:right w:val="single" w:sz="4" w:space="0" w:color="auto"/>
            </w:tcBorders>
            <w:vAlign w:val="center"/>
          </w:tcPr>
          <w:p w14:paraId="6C172FA1"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w:t>
            </w:r>
          </w:p>
        </w:tc>
        <w:tc>
          <w:tcPr>
            <w:tcW w:w="389" w:type="pct"/>
            <w:tcBorders>
              <w:top w:val="single" w:sz="4" w:space="0" w:color="auto"/>
              <w:left w:val="nil"/>
              <w:bottom w:val="single" w:sz="4" w:space="0" w:color="auto"/>
              <w:right w:val="single" w:sz="4" w:space="0" w:color="auto"/>
            </w:tcBorders>
            <w:vAlign w:val="center"/>
          </w:tcPr>
          <w:p w14:paraId="508B23A8"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15</w:t>
            </w:r>
          </w:p>
        </w:tc>
        <w:tc>
          <w:tcPr>
            <w:tcW w:w="356" w:type="pct"/>
            <w:tcBorders>
              <w:top w:val="single" w:sz="4" w:space="0" w:color="auto"/>
              <w:left w:val="nil"/>
              <w:bottom w:val="single" w:sz="4" w:space="0" w:color="auto"/>
              <w:right w:val="single" w:sz="4" w:space="0" w:color="auto"/>
            </w:tcBorders>
            <w:vAlign w:val="center"/>
          </w:tcPr>
          <w:p w14:paraId="04E3BABA"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20</w:t>
            </w:r>
          </w:p>
        </w:tc>
      </w:tr>
      <w:tr w:rsidR="00050759" w14:paraId="2DC58209"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3CA5E48E"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2</w:t>
            </w:r>
          </w:p>
        </w:tc>
        <w:tc>
          <w:tcPr>
            <w:tcW w:w="3299" w:type="pct"/>
            <w:tcBorders>
              <w:top w:val="single" w:sz="4" w:space="0" w:color="auto"/>
              <w:left w:val="nil"/>
              <w:bottom w:val="single" w:sz="4" w:space="0" w:color="auto"/>
              <w:right w:val="single" w:sz="4" w:space="0" w:color="auto"/>
            </w:tcBorders>
          </w:tcPr>
          <w:p w14:paraId="433E0071"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2</w:t>
            </w:r>
            <w:r>
              <w:rPr>
                <w:rFonts w:asciiTheme="minorEastAsia" w:hAnsiTheme="minorEastAsia" w:cs="Times New Roman"/>
                <w:szCs w:val="21"/>
              </w:rPr>
              <w:t>：具备车站接发列车、车站作业计划编制、货物列车编组计划编制、列车运行图编制与通过能力计算、技术计划编制、车流调整及列车运行调整的基本技能，并能利用相关理论进行方案优化与比选；</w:t>
            </w:r>
          </w:p>
        </w:tc>
        <w:tc>
          <w:tcPr>
            <w:tcW w:w="320" w:type="pct"/>
            <w:tcBorders>
              <w:top w:val="single" w:sz="4" w:space="0" w:color="auto"/>
              <w:left w:val="nil"/>
              <w:bottom w:val="single" w:sz="4" w:space="0" w:color="auto"/>
              <w:right w:val="single" w:sz="4" w:space="0" w:color="auto"/>
            </w:tcBorders>
          </w:tcPr>
          <w:p w14:paraId="3CA3B542" w14:textId="77777777" w:rsidR="00050759" w:rsidRDefault="00050759">
            <w:pPr>
              <w:adjustRightInd w:val="0"/>
              <w:snapToGrid w:val="0"/>
              <w:jc w:val="center"/>
              <w:rPr>
                <w:rFonts w:asciiTheme="minorEastAsia" w:hAnsiTheme="minorEastAsia" w:cs="Times New Roman"/>
                <w:szCs w:val="21"/>
              </w:rPr>
            </w:pPr>
          </w:p>
        </w:tc>
        <w:tc>
          <w:tcPr>
            <w:tcW w:w="298" w:type="pct"/>
            <w:tcBorders>
              <w:top w:val="single" w:sz="4" w:space="0" w:color="auto"/>
              <w:left w:val="nil"/>
              <w:bottom w:val="single" w:sz="4" w:space="0" w:color="auto"/>
              <w:right w:val="single" w:sz="4" w:space="0" w:color="auto"/>
            </w:tcBorders>
            <w:vAlign w:val="center"/>
          </w:tcPr>
          <w:p w14:paraId="6F6D8661"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w:t>
            </w:r>
          </w:p>
        </w:tc>
        <w:tc>
          <w:tcPr>
            <w:tcW w:w="389" w:type="pct"/>
            <w:tcBorders>
              <w:top w:val="single" w:sz="4" w:space="0" w:color="auto"/>
              <w:left w:val="nil"/>
              <w:bottom w:val="single" w:sz="4" w:space="0" w:color="auto"/>
              <w:right w:val="single" w:sz="4" w:space="0" w:color="auto"/>
            </w:tcBorders>
            <w:vAlign w:val="center"/>
          </w:tcPr>
          <w:p w14:paraId="57C93C89"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25</w:t>
            </w:r>
          </w:p>
        </w:tc>
        <w:tc>
          <w:tcPr>
            <w:tcW w:w="356" w:type="pct"/>
            <w:tcBorders>
              <w:top w:val="single" w:sz="4" w:space="0" w:color="auto"/>
              <w:left w:val="nil"/>
              <w:bottom w:val="single" w:sz="4" w:space="0" w:color="auto"/>
              <w:right w:val="single" w:sz="4" w:space="0" w:color="auto"/>
            </w:tcBorders>
            <w:vAlign w:val="center"/>
          </w:tcPr>
          <w:p w14:paraId="5E243300"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30</w:t>
            </w:r>
          </w:p>
        </w:tc>
      </w:tr>
      <w:tr w:rsidR="00050759" w14:paraId="42A3B4FA"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0D1A507D"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3</w:t>
            </w:r>
          </w:p>
        </w:tc>
        <w:tc>
          <w:tcPr>
            <w:tcW w:w="3299" w:type="pct"/>
            <w:tcBorders>
              <w:top w:val="single" w:sz="4" w:space="0" w:color="auto"/>
              <w:left w:val="nil"/>
              <w:bottom w:val="single" w:sz="4" w:space="0" w:color="auto"/>
              <w:right w:val="single" w:sz="4" w:space="0" w:color="auto"/>
            </w:tcBorders>
          </w:tcPr>
          <w:p w14:paraId="458E8E3F"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3</w:t>
            </w:r>
            <w:r>
              <w:rPr>
                <w:rFonts w:asciiTheme="minorEastAsia" w:hAnsiTheme="minorEastAsia" w:cs="Times New Roman"/>
                <w:szCs w:val="21"/>
              </w:rPr>
              <w:t>：能够认识到铁路运输计划编制、能力加强、组织指挥等复杂问题解决方案的多样性、差异性、系统性，具有创新意识并能够运用相关基础理论和专业知识提出和设计替代解决方案；</w:t>
            </w:r>
          </w:p>
        </w:tc>
        <w:tc>
          <w:tcPr>
            <w:tcW w:w="320" w:type="pct"/>
            <w:tcBorders>
              <w:top w:val="single" w:sz="4" w:space="0" w:color="auto"/>
              <w:left w:val="nil"/>
              <w:bottom w:val="single" w:sz="4" w:space="0" w:color="auto"/>
              <w:right w:val="single" w:sz="4" w:space="0" w:color="auto"/>
            </w:tcBorders>
            <w:vAlign w:val="center"/>
          </w:tcPr>
          <w:p w14:paraId="08F3E1A1"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w:t>
            </w:r>
          </w:p>
        </w:tc>
        <w:tc>
          <w:tcPr>
            <w:tcW w:w="298" w:type="pct"/>
            <w:tcBorders>
              <w:top w:val="single" w:sz="4" w:space="0" w:color="auto"/>
              <w:left w:val="nil"/>
              <w:bottom w:val="single" w:sz="4" w:space="0" w:color="auto"/>
              <w:right w:val="single" w:sz="4" w:space="0" w:color="auto"/>
            </w:tcBorders>
            <w:vAlign w:val="center"/>
          </w:tcPr>
          <w:p w14:paraId="0F238FB2" w14:textId="77777777" w:rsidR="00050759" w:rsidRDefault="00050759">
            <w:pPr>
              <w:adjustRightInd w:val="0"/>
              <w:snapToGrid w:val="0"/>
              <w:jc w:val="center"/>
              <w:rPr>
                <w:rFonts w:asciiTheme="minorEastAsia" w:hAnsiTheme="minorEastAsia" w:cs="Times New Roman"/>
                <w:szCs w:val="21"/>
              </w:rPr>
            </w:pPr>
          </w:p>
        </w:tc>
        <w:tc>
          <w:tcPr>
            <w:tcW w:w="389" w:type="pct"/>
            <w:tcBorders>
              <w:top w:val="single" w:sz="4" w:space="0" w:color="auto"/>
              <w:left w:val="nil"/>
              <w:bottom w:val="single" w:sz="4" w:space="0" w:color="auto"/>
              <w:right w:val="single" w:sz="4" w:space="0" w:color="auto"/>
            </w:tcBorders>
            <w:vAlign w:val="center"/>
          </w:tcPr>
          <w:p w14:paraId="624C4799"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15</w:t>
            </w:r>
          </w:p>
        </w:tc>
        <w:tc>
          <w:tcPr>
            <w:tcW w:w="356" w:type="pct"/>
            <w:tcBorders>
              <w:top w:val="single" w:sz="4" w:space="0" w:color="auto"/>
              <w:left w:val="nil"/>
              <w:bottom w:val="single" w:sz="4" w:space="0" w:color="auto"/>
              <w:right w:val="single" w:sz="4" w:space="0" w:color="auto"/>
            </w:tcBorders>
            <w:vAlign w:val="center"/>
          </w:tcPr>
          <w:p w14:paraId="2363B1AB"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20</w:t>
            </w:r>
          </w:p>
        </w:tc>
      </w:tr>
      <w:tr w:rsidR="00050759" w14:paraId="5E134C0A"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1D62BC14"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4</w:t>
            </w:r>
          </w:p>
        </w:tc>
        <w:tc>
          <w:tcPr>
            <w:tcW w:w="3299" w:type="pct"/>
            <w:tcBorders>
              <w:top w:val="single" w:sz="4" w:space="0" w:color="auto"/>
              <w:left w:val="nil"/>
              <w:bottom w:val="single" w:sz="4" w:space="0" w:color="auto"/>
              <w:right w:val="single" w:sz="4" w:space="0" w:color="auto"/>
            </w:tcBorders>
          </w:tcPr>
          <w:p w14:paraId="6FD61C43"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4</w:t>
            </w:r>
            <w:r>
              <w:rPr>
                <w:rFonts w:asciiTheme="minorEastAsia" w:hAnsiTheme="minorEastAsia" w:cs="Times New Roman"/>
                <w:szCs w:val="21"/>
              </w:rPr>
              <w:t>：全面了解铁路客货运输生产全过程，深刻认识铁路行车组织各环节各工种的作业过程与相互联系，准确把握影响铁路运输生产目标和组织方案的各项因素，形成解决铁路行车组织复杂工程问题的整体能力和系统思想；</w:t>
            </w:r>
          </w:p>
        </w:tc>
        <w:tc>
          <w:tcPr>
            <w:tcW w:w="320" w:type="pct"/>
            <w:tcBorders>
              <w:top w:val="single" w:sz="4" w:space="0" w:color="auto"/>
              <w:left w:val="nil"/>
              <w:bottom w:val="single" w:sz="4" w:space="0" w:color="auto"/>
              <w:right w:val="single" w:sz="4" w:space="0" w:color="auto"/>
            </w:tcBorders>
            <w:vAlign w:val="center"/>
          </w:tcPr>
          <w:p w14:paraId="04071DBF" w14:textId="77777777" w:rsidR="00050759" w:rsidRDefault="00050759">
            <w:pPr>
              <w:adjustRightInd w:val="0"/>
              <w:snapToGrid w:val="0"/>
              <w:jc w:val="center"/>
              <w:rPr>
                <w:rFonts w:asciiTheme="minorEastAsia" w:hAnsiTheme="minorEastAsia" w:cs="Times New Roman"/>
                <w:szCs w:val="21"/>
              </w:rPr>
            </w:pPr>
          </w:p>
        </w:tc>
        <w:tc>
          <w:tcPr>
            <w:tcW w:w="298" w:type="pct"/>
            <w:tcBorders>
              <w:top w:val="single" w:sz="4" w:space="0" w:color="auto"/>
              <w:left w:val="nil"/>
              <w:bottom w:val="single" w:sz="4" w:space="0" w:color="auto"/>
              <w:right w:val="single" w:sz="4" w:space="0" w:color="auto"/>
            </w:tcBorders>
            <w:vAlign w:val="center"/>
          </w:tcPr>
          <w:p w14:paraId="200CCEFA" w14:textId="77777777" w:rsidR="00050759" w:rsidRDefault="00050759">
            <w:pPr>
              <w:adjustRightInd w:val="0"/>
              <w:snapToGrid w:val="0"/>
              <w:jc w:val="center"/>
              <w:rPr>
                <w:rFonts w:asciiTheme="minorEastAsia" w:hAnsiTheme="minorEastAsia" w:cs="Times New Roman"/>
                <w:szCs w:val="21"/>
              </w:rPr>
            </w:pPr>
          </w:p>
        </w:tc>
        <w:tc>
          <w:tcPr>
            <w:tcW w:w="389" w:type="pct"/>
            <w:tcBorders>
              <w:top w:val="single" w:sz="4" w:space="0" w:color="auto"/>
              <w:left w:val="nil"/>
              <w:bottom w:val="single" w:sz="4" w:space="0" w:color="auto"/>
              <w:right w:val="single" w:sz="4" w:space="0" w:color="auto"/>
            </w:tcBorders>
            <w:vAlign w:val="center"/>
          </w:tcPr>
          <w:p w14:paraId="266D1534"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15</w:t>
            </w:r>
          </w:p>
        </w:tc>
        <w:tc>
          <w:tcPr>
            <w:tcW w:w="356" w:type="pct"/>
            <w:tcBorders>
              <w:top w:val="single" w:sz="4" w:space="0" w:color="auto"/>
              <w:left w:val="nil"/>
              <w:bottom w:val="single" w:sz="4" w:space="0" w:color="auto"/>
              <w:right w:val="single" w:sz="4" w:space="0" w:color="auto"/>
            </w:tcBorders>
            <w:vAlign w:val="center"/>
          </w:tcPr>
          <w:p w14:paraId="41D33133"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15</w:t>
            </w:r>
          </w:p>
        </w:tc>
      </w:tr>
      <w:tr w:rsidR="00050759" w14:paraId="6654726C"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255905A9"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5</w:t>
            </w:r>
          </w:p>
        </w:tc>
        <w:tc>
          <w:tcPr>
            <w:tcW w:w="3299" w:type="pct"/>
            <w:tcBorders>
              <w:top w:val="single" w:sz="4" w:space="0" w:color="auto"/>
              <w:left w:val="nil"/>
              <w:bottom w:val="single" w:sz="4" w:space="0" w:color="auto"/>
              <w:right w:val="single" w:sz="4" w:space="0" w:color="auto"/>
            </w:tcBorders>
          </w:tcPr>
          <w:p w14:paraId="633AD8B1"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5</w:t>
            </w:r>
            <w:r>
              <w:rPr>
                <w:rFonts w:asciiTheme="minorEastAsia" w:hAnsiTheme="minorEastAsia" w:cs="Times New Roman"/>
                <w:szCs w:val="21"/>
              </w:rPr>
              <w:t>：全面了解铁路行车组织、客货运相关领域的发展过程与趋势、研究热点，并能够就该领域中复杂工程问题与业界同行及社会公众进行有效沟通和交流；</w:t>
            </w:r>
          </w:p>
        </w:tc>
        <w:tc>
          <w:tcPr>
            <w:tcW w:w="320" w:type="pct"/>
            <w:tcBorders>
              <w:top w:val="single" w:sz="4" w:space="0" w:color="auto"/>
              <w:left w:val="nil"/>
              <w:bottom w:val="single" w:sz="4" w:space="0" w:color="auto"/>
              <w:right w:val="single" w:sz="4" w:space="0" w:color="auto"/>
            </w:tcBorders>
            <w:vAlign w:val="center"/>
          </w:tcPr>
          <w:p w14:paraId="6397F642"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5-10</w:t>
            </w:r>
          </w:p>
        </w:tc>
        <w:tc>
          <w:tcPr>
            <w:tcW w:w="298" w:type="pct"/>
            <w:tcBorders>
              <w:top w:val="single" w:sz="4" w:space="0" w:color="auto"/>
              <w:left w:val="nil"/>
              <w:bottom w:val="single" w:sz="4" w:space="0" w:color="auto"/>
              <w:right w:val="single" w:sz="4" w:space="0" w:color="auto"/>
            </w:tcBorders>
            <w:vAlign w:val="center"/>
          </w:tcPr>
          <w:p w14:paraId="57CF3AC3" w14:textId="77777777" w:rsidR="00050759" w:rsidRDefault="00050759">
            <w:pPr>
              <w:adjustRightInd w:val="0"/>
              <w:snapToGrid w:val="0"/>
              <w:jc w:val="center"/>
              <w:rPr>
                <w:rFonts w:asciiTheme="minorEastAsia" w:hAnsiTheme="minorEastAsia" w:cs="Times New Roman"/>
                <w:szCs w:val="21"/>
              </w:rPr>
            </w:pPr>
          </w:p>
        </w:tc>
        <w:tc>
          <w:tcPr>
            <w:tcW w:w="389" w:type="pct"/>
            <w:tcBorders>
              <w:top w:val="single" w:sz="4" w:space="0" w:color="auto"/>
              <w:left w:val="nil"/>
              <w:bottom w:val="single" w:sz="4" w:space="0" w:color="auto"/>
              <w:right w:val="single" w:sz="4" w:space="0" w:color="auto"/>
            </w:tcBorders>
            <w:vAlign w:val="center"/>
          </w:tcPr>
          <w:p w14:paraId="440E1D30" w14:textId="77777777" w:rsidR="00050759" w:rsidRDefault="00050759">
            <w:pPr>
              <w:adjustRightInd w:val="0"/>
              <w:snapToGrid w:val="0"/>
              <w:jc w:val="center"/>
              <w:rPr>
                <w:rFonts w:asciiTheme="minorEastAsia" w:hAnsiTheme="minorEastAsia" w:cs="Times New Roman"/>
                <w:szCs w:val="21"/>
              </w:rPr>
            </w:pPr>
          </w:p>
        </w:tc>
        <w:tc>
          <w:tcPr>
            <w:tcW w:w="356" w:type="pct"/>
            <w:tcBorders>
              <w:top w:val="single" w:sz="4" w:space="0" w:color="auto"/>
              <w:left w:val="nil"/>
              <w:bottom w:val="single" w:sz="4" w:space="0" w:color="auto"/>
              <w:right w:val="single" w:sz="4" w:space="0" w:color="auto"/>
            </w:tcBorders>
            <w:vAlign w:val="center"/>
          </w:tcPr>
          <w:p w14:paraId="6C8285D0"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5-10</w:t>
            </w:r>
          </w:p>
        </w:tc>
      </w:tr>
      <w:tr w:rsidR="00050759" w14:paraId="1C034E20"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50B68ECC"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6</w:t>
            </w:r>
          </w:p>
        </w:tc>
        <w:tc>
          <w:tcPr>
            <w:tcW w:w="3299" w:type="pct"/>
            <w:tcBorders>
              <w:top w:val="single" w:sz="4" w:space="0" w:color="auto"/>
              <w:left w:val="nil"/>
              <w:bottom w:val="single" w:sz="4" w:space="0" w:color="auto"/>
              <w:right w:val="single" w:sz="4" w:space="0" w:color="auto"/>
            </w:tcBorders>
          </w:tcPr>
          <w:p w14:paraId="069101BA"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6</w:t>
            </w:r>
            <w:r>
              <w:rPr>
                <w:rFonts w:asciiTheme="minorEastAsia" w:hAnsiTheme="minorEastAsia" w:cs="Times New Roman"/>
                <w:szCs w:val="21"/>
              </w:rPr>
              <w:t>：了解并掌握车站作业组织、列车编组计划、列车开行方案及运行图、通过能力加强、货物运输生产计划及日常运输调整等运输组织活动中的经济要素与成本构成特点，并能在方案决策中加以运用；</w:t>
            </w:r>
          </w:p>
        </w:tc>
        <w:tc>
          <w:tcPr>
            <w:tcW w:w="320" w:type="pct"/>
            <w:tcBorders>
              <w:top w:val="single" w:sz="4" w:space="0" w:color="auto"/>
              <w:left w:val="nil"/>
              <w:bottom w:val="single" w:sz="4" w:space="0" w:color="auto"/>
              <w:right w:val="single" w:sz="4" w:space="0" w:color="auto"/>
            </w:tcBorders>
            <w:vAlign w:val="center"/>
          </w:tcPr>
          <w:p w14:paraId="03FBF957"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w:t>
            </w:r>
          </w:p>
        </w:tc>
        <w:tc>
          <w:tcPr>
            <w:tcW w:w="298" w:type="pct"/>
            <w:tcBorders>
              <w:top w:val="single" w:sz="4" w:space="0" w:color="auto"/>
              <w:left w:val="nil"/>
              <w:bottom w:val="single" w:sz="4" w:space="0" w:color="auto"/>
              <w:right w:val="single" w:sz="4" w:space="0" w:color="auto"/>
            </w:tcBorders>
            <w:vAlign w:val="center"/>
          </w:tcPr>
          <w:p w14:paraId="74993DFE" w14:textId="77777777" w:rsidR="00050759" w:rsidRDefault="00050759">
            <w:pPr>
              <w:adjustRightInd w:val="0"/>
              <w:snapToGrid w:val="0"/>
              <w:jc w:val="center"/>
              <w:rPr>
                <w:rFonts w:asciiTheme="minorEastAsia" w:hAnsiTheme="minorEastAsia" w:cs="Times New Roman"/>
                <w:szCs w:val="21"/>
              </w:rPr>
            </w:pPr>
          </w:p>
        </w:tc>
        <w:tc>
          <w:tcPr>
            <w:tcW w:w="389" w:type="pct"/>
            <w:tcBorders>
              <w:top w:val="single" w:sz="4" w:space="0" w:color="auto"/>
              <w:left w:val="nil"/>
              <w:bottom w:val="single" w:sz="4" w:space="0" w:color="auto"/>
              <w:right w:val="single" w:sz="4" w:space="0" w:color="auto"/>
            </w:tcBorders>
            <w:vAlign w:val="center"/>
          </w:tcPr>
          <w:p w14:paraId="35EC2CBD" w14:textId="77777777" w:rsidR="00050759" w:rsidRDefault="00050759">
            <w:pPr>
              <w:adjustRightInd w:val="0"/>
              <w:snapToGrid w:val="0"/>
              <w:jc w:val="center"/>
              <w:rPr>
                <w:rFonts w:asciiTheme="minorEastAsia" w:hAnsiTheme="minorEastAsia" w:cs="Times New Roman"/>
                <w:szCs w:val="21"/>
              </w:rPr>
            </w:pPr>
          </w:p>
        </w:tc>
        <w:tc>
          <w:tcPr>
            <w:tcW w:w="356" w:type="pct"/>
            <w:tcBorders>
              <w:top w:val="single" w:sz="4" w:space="0" w:color="auto"/>
              <w:left w:val="nil"/>
              <w:bottom w:val="single" w:sz="4" w:space="0" w:color="auto"/>
              <w:right w:val="single" w:sz="4" w:space="0" w:color="auto"/>
            </w:tcBorders>
            <w:vAlign w:val="center"/>
          </w:tcPr>
          <w:p w14:paraId="407D250E"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w:t>
            </w:r>
          </w:p>
        </w:tc>
      </w:tr>
      <w:tr w:rsidR="00050759" w14:paraId="4ABED218" w14:textId="77777777">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45D8D267" w14:textId="77777777" w:rsidR="00050759" w:rsidRDefault="0064082D">
            <w:pPr>
              <w:adjustRightInd w:val="0"/>
              <w:snapToGrid w:val="0"/>
              <w:spacing w:beforeLines="50" w:before="159" w:afterLines="50" w:after="159"/>
              <w:jc w:val="center"/>
              <w:rPr>
                <w:rFonts w:asciiTheme="minorEastAsia" w:hAnsiTheme="minorEastAsia" w:cs="Times New Roman"/>
                <w:szCs w:val="21"/>
              </w:rPr>
            </w:pPr>
            <w:r>
              <w:rPr>
                <w:rFonts w:asciiTheme="minorEastAsia" w:hAnsiTheme="minorEastAsia" w:cs="Times New Roman"/>
                <w:szCs w:val="21"/>
              </w:rPr>
              <w:t>7</w:t>
            </w:r>
          </w:p>
        </w:tc>
        <w:tc>
          <w:tcPr>
            <w:tcW w:w="3299" w:type="pct"/>
            <w:tcBorders>
              <w:top w:val="single" w:sz="4" w:space="0" w:color="auto"/>
              <w:left w:val="nil"/>
              <w:bottom w:val="single" w:sz="4" w:space="0" w:color="auto"/>
              <w:right w:val="single" w:sz="4" w:space="0" w:color="auto"/>
            </w:tcBorders>
          </w:tcPr>
          <w:p w14:paraId="2A0C9CC6" w14:textId="77777777" w:rsidR="00050759" w:rsidRDefault="0064082D">
            <w:pPr>
              <w:adjustRightInd w:val="0"/>
              <w:snapToGrid w:val="0"/>
              <w:rPr>
                <w:rFonts w:asciiTheme="minorEastAsia" w:hAnsiTheme="minorEastAsia" w:cs="Times New Roman"/>
                <w:szCs w:val="21"/>
              </w:rPr>
            </w:pPr>
            <w:r>
              <w:rPr>
                <w:rFonts w:asciiTheme="minorEastAsia" w:hAnsiTheme="minorEastAsia" w:cs="Times New Roman"/>
                <w:szCs w:val="21"/>
              </w:rPr>
              <w:t>目标</w:t>
            </w:r>
            <w:r>
              <w:rPr>
                <w:rFonts w:asciiTheme="minorEastAsia" w:hAnsiTheme="minorEastAsia" w:cs="Times New Roman"/>
                <w:szCs w:val="21"/>
              </w:rPr>
              <w:t>7</w:t>
            </w:r>
            <w:r>
              <w:rPr>
                <w:rFonts w:asciiTheme="minorEastAsia" w:hAnsiTheme="minorEastAsia" w:cs="Times New Roman"/>
                <w:szCs w:val="21"/>
              </w:rPr>
              <w:t>：热爱祖国、爱岗敬业、具有广阔的国际视野，突出的创新意识以及作为铁路人的社会责任感，具有交通运输工程师的职业道德，适应新时代社会主义现代化建设和交通运输行业发展需求</w:t>
            </w:r>
          </w:p>
        </w:tc>
        <w:tc>
          <w:tcPr>
            <w:tcW w:w="320" w:type="pct"/>
            <w:tcBorders>
              <w:top w:val="single" w:sz="4" w:space="0" w:color="auto"/>
              <w:left w:val="nil"/>
              <w:bottom w:val="single" w:sz="4" w:space="0" w:color="auto"/>
              <w:right w:val="single" w:sz="4" w:space="0" w:color="auto"/>
            </w:tcBorders>
            <w:vAlign w:val="center"/>
          </w:tcPr>
          <w:p w14:paraId="40E72C39"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5-10</w:t>
            </w:r>
          </w:p>
        </w:tc>
        <w:tc>
          <w:tcPr>
            <w:tcW w:w="298" w:type="pct"/>
            <w:tcBorders>
              <w:top w:val="single" w:sz="4" w:space="0" w:color="auto"/>
              <w:left w:val="nil"/>
              <w:bottom w:val="single" w:sz="4" w:space="0" w:color="auto"/>
              <w:right w:val="single" w:sz="4" w:space="0" w:color="auto"/>
            </w:tcBorders>
            <w:vAlign w:val="center"/>
          </w:tcPr>
          <w:p w14:paraId="7F986DCE" w14:textId="77777777" w:rsidR="00050759" w:rsidRDefault="00050759">
            <w:pPr>
              <w:adjustRightInd w:val="0"/>
              <w:snapToGrid w:val="0"/>
              <w:jc w:val="center"/>
              <w:rPr>
                <w:rFonts w:asciiTheme="minorEastAsia" w:hAnsiTheme="minorEastAsia" w:cs="Times New Roman"/>
                <w:szCs w:val="21"/>
              </w:rPr>
            </w:pPr>
          </w:p>
        </w:tc>
        <w:tc>
          <w:tcPr>
            <w:tcW w:w="389" w:type="pct"/>
            <w:tcBorders>
              <w:top w:val="single" w:sz="4" w:space="0" w:color="auto"/>
              <w:left w:val="nil"/>
              <w:bottom w:val="single" w:sz="4" w:space="0" w:color="auto"/>
              <w:right w:val="single" w:sz="4" w:space="0" w:color="auto"/>
            </w:tcBorders>
            <w:vAlign w:val="center"/>
          </w:tcPr>
          <w:p w14:paraId="15B975A5" w14:textId="77777777" w:rsidR="00050759" w:rsidRDefault="00050759">
            <w:pPr>
              <w:adjustRightInd w:val="0"/>
              <w:snapToGrid w:val="0"/>
              <w:jc w:val="center"/>
              <w:rPr>
                <w:rFonts w:asciiTheme="minorEastAsia" w:hAnsiTheme="minorEastAsia" w:cs="Times New Roman"/>
                <w:szCs w:val="21"/>
              </w:rPr>
            </w:pPr>
          </w:p>
        </w:tc>
        <w:tc>
          <w:tcPr>
            <w:tcW w:w="356" w:type="pct"/>
            <w:tcBorders>
              <w:top w:val="single" w:sz="4" w:space="0" w:color="auto"/>
              <w:left w:val="nil"/>
              <w:bottom w:val="single" w:sz="4" w:space="0" w:color="auto"/>
              <w:right w:val="single" w:sz="4" w:space="0" w:color="auto"/>
            </w:tcBorders>
            <w:vAlign w:val="center"/>
          </w:tcPr>
          <w:p w14:paraId="06E2ED86"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5-10</w:t>
            </w:r>
          </w:p>
        </w:tc>
      </w:tr>
      <w:tr w:rsidR="00050759" w14:paraId="45E4A61B" w14:textId="77777777">
        <w:trPr>
          <w:jc w:val="center"/>
        </w:trPr>
        <w:tc>
          <w:tcPr>
            <w:tcW w:w="3637" w:type="pct"/>
            <w:gridSpan w:val="2"/>
            <w:tcBorders>
              <w:top w:val="single" w:sz="4" w:space="0" w:color="auto"/>
              <w:left w:val="single" w:sz="4" w:space="0" w:color="auto"/>
              <w:bottom w:val="single" w:sz="4" w:space="0" w:color="auto"/>
              <w:right w:val="single" w:sz="4" w:space="0" w:color="auto"/>
            </w:tcBorders>
            <w:vAlign w:val="center"/>
          </w:tcPr>
          <w:p w14:paraId="158EC733"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合计</w:t>
            </w:r>
          </w:p>
        </w:tc>
        <w:tc>
          <w:tcPr>
            <w:tcW w:w="320" w:type="pct"/>
            <w:tcBorders>
              <w:top w:val="single" w:sz="4" w:space="0" w:color="auto"/>
              <w:left w:val="nil"/>
              <w:bottom w:val="single" w:sz="4" w:space="0" w:color="auto"/>
              <w:right w:val="single" w:sz="4" w:space="0" w:color="auto"/>
            </w:tcBorders>
          </w:tcPr>
          <w:p w14:paraId="217CB942"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20-25</w:t>
            </w:r>
          </w:p>
        </w:tc>
        <w:tc>
          <w:tcPr>
            <w:tcW w:w="298" w:type="pct"/>
            <w:tcBorders>
              <w:top w:val="single" w:sz="4" w:space="0" w:color="auto"/>
              <w:left w:val="nil"/>
              <w:bottom w:val="single" w:sz="4" w:space="0" w:color="auto"/>
              <w:right w:val="single" w:sz="4" w:space="0" w:color="auto"/>
            </w:tcBorders>
            <w:vAlign w:val="center"/>
          </w:tcPr>
          <w:p w14:paraId="48DBE8A0"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10</w:t>
            </w:r>
          </w:p>
        </w:tc>
        <w:tc>
          <w:tcPr>
            <w:tcW w:w="389" w:type="pct"/>
            <w:tcBorders>
              <w:top w:val="single" w:sz="4" w:space="0" w:color="auto"/>
              <w:left w:val="nil"/>
              <w:bottom w:val="single" w:sz="4" w:space="0" w:color="auto"/>
              <w:right w:val="single" w:sz="4" w:space="0" w:color="auto"/>
            </w:tcBorders>
            <w:vAlign w:val="center"/>
          </w:tcPr>
          <w:p w14:paraId="37781F30"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65-70</w:t>
            </w:r>
          </w:p>
        </w:tc>
        <w:tc>
          <w:tcPr>
            <w:tcW w:w="356" w:type="pct"/>
            <w:tcBorders>
              <w:top w:val="single" w:sz="4" w:space="0" w:color="auto"/>
              <w:left w:val="nil"/>
              <w:bottom w:val="single" w:sz="4" w:space="0" w:color="auto"/>
              <w:right w:val="single" w:sz="4" w:space="0" w:color="auto"/>
            </w:tcBorders>
            <w:vAlign w:val="center"/>
          </w:tcPr>
          <w:p w14:paraId="16513ED8" w14:textId="77777777" w:rsidR="00050759" w:rsidRDefault="0064082D">
            <w:pPr>
              <w:adjustRightInd w:val="0"/>
              <w:snapToGrid w:val="0"/>
              <w:jc w:val="center"/>
              <w:rPr>
                <w:rFonts w:asciiTheme="minorEastAsia" w:hAnsiTheme="minorEastAsia" w:cs="Times New Roman"/>
                <w:szCs w:val="21"/>
              </w:rPr>
            </w:pPr>
            <w:r>
              <w:rPr>
                <w:rFonts w:asciiTheme="minorEastAsia" w:hAnsiTheme="minorEastAsia" w:cs="Times New Roman"/>
                <w:szCs w:val="21"/>
              </w:rPr>
              <w:t>100</w:t>
            </w:r>
          </w:p>
        </w:tc>
      </w:tr>
    </w:tbl>
    <w:p w14:paraId="6FC53824" w14:textId="77777777" w:rsidR="00050759" w:rsidRDefault="00050759">
      <w:pPr>
        <w:adjustRightInd w:val="0"/>
        <w:snapToGrid w:val="0"/>
        <w:spacing w:line="360" w:lineRule="auto"/>
        <w:ind w:firstLineChars="200" w:firstLine="480"/>
        <w:rPr>
          <w:rFonts w:ascii="Times New Roman" w:hAnsi="Times New Roman" w:cs="Times New Roman"/>
          <w:sz w:val="24"/>
          <w:szCs w:val="24"/>
        </w:rPr>
      </w:pPr>
    </w:p>
    <w:p w14:paraId="7C07B137"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计入成绩的各考核环节，应保证考核结果的科学性和公正性，特别应确保有多个教学班的同一门课程评分的一致性。</w:t>
      </w:r>
    </w:p>
    <w:p w14:paraId="4E2679CD"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课程团队各任课老师应按照执行大纲的要求统一教学进度，保证教学过程中的各项考核同步进行。期中与期末的结点考试，课程组要求采用统一标准、统一出题、统一考试、统一阅卷的考核方式。</w:t>
      </w:r>
    </w:p>
    <w:p w14:paraId="351B79D3"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对于藏大班，任课教师可根据学情适当调整教学内容和考试内容；对于申请特殊试点教学的卓越班（茅班和詹班）任课教师在教学负责人和课程负责人允许条件下，可根据试点情况适当调整教学内容和考试内容。</w:t>
      </w:r>
    </w:p>
    <w:p w14:paraId="7A1D7103"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应通过设置适合的考核项目使学生在整个学期中都不断努力学习，而不是仅仅依靠期末突击通过考试。</w:t>
      </w:r>
    </w:p>
    <w:p w14:paraId="5685665E" w14:textId="77777777" w:rsidR="00050759" w:rsidRDefault="0064082D">
      <w:pPr>
        <w:adjustRightInd w:val="0"/>
        <w:snapToGrid w:val="0"/>
        <w:spacing w:line="360" w:lineRule="auto"/>
        <w:ind w:firstLineChars="200" w:firstLine="480"/>
        <w:rPr>
          <w:rFonts w:asciiTheme="minorEastAsia" w:hAnsiTheme="minorEastAsia" w:cs="Times New Roman"/>
          <w:sz w:val="24"/>
          <w:szCs w:val="24"/>
        </w:rPr>
      </w:pPr>
      <w:r>
        <w:rPr>
          <w:rFonts w:ascii="Times New Roman" w:hAnsi="Times New Roman" w:cs="Times New Roman"/>
          <w:sz w:val="24"/>
          <w:szCs w:val="24"/>
        </w:rPr>
        <w:t>本</w:t>
      </w:r>
      <w:r>
        <w:rPr>
          <w:rFonts w:asciiTheme="minorEastAsia" w:hAnsiTheme="minorEastAsia" w:cs="Times New Roman"/>
          <w:sz w:val="24"/>
          <w:szCs w:val="24"/>
        </w:rPr>
        <w:t>课程的考核强调</w:t>
      </w:r>
      <w:r>
        <w:rPr>
          <w:rFonts w:asciiTheme="minorEastAsia" w:hAnsiTheme="minorEastAsia" w:cs="Times New Roman"/>
          <w:sz w:val="24"/>
          <w:szCs w:val="24"/>
        </w:rPr>
        <w:t>“</w:t>
      </w:r>
      <w:r>
        <w:rPr>
          <w:rFonts w:asciiTheme="minorEastAsia" w:hAnsiTheme="minorEastAsia" w:cs="Times New Roman"/>
          <w:sz w:val="24"/>
          <w:szCs w:val="24"/>
        </w:rPr>
        <w:t>知识与能力并重</w:t>
      </w:r>
      <w:r>
        <w:rPr>
          <w:rFonts w:asciiTheme="minorEastAsia" w:hAnsiTheme="minorEastAsia" w:cs="Times New Roman"/>
          <w:sz w:val="24"/>
          <w:szCs w:val="24"/>
        </w:rPr>
        <w:t>”</w:t>
      </w:r>
      <w:r>
        <w:rPr>
          <w:rFonts w:asciiTheme="minorEastAsia" w:hAnsiTheme="minorEastAsia" w:cs="Times New Roman"/>
          <w:sz w:val="24"/>
          <w:szCs w:val="24"/>
        </w:rPr>
        <w:t>、</w:t>
      </w:r>
      <w:r>
        <w:rPr>
          <w:rFonts w:asciiTheme="minorEastAsia" w:hAnsiTheme="minorEastAsia" w:cs="Times New Roman"/>
          <w:sz w:val="24"/>
          <w:szCs w:val="24"/>
        </w:rPr>
        <w:t>“</w:t>
      </w:r>
      <w:r>
        <w:rPr>
          <w:rFonts w:asciiTheme="minorEastAsia" w:hAnsiTheme="minorEastAsia" w:cs="Times New Roman"/>
          <w:sz w:val="24"/>
          <w:szCs w:val="24"/>
        </w:rPr>
        <w:t>过程与结果并重</w:t>
      </w:r>
      <w:r>
        <w:rPr>
          <w:rFonts w:asciiTheme="minorEastAsia" w:hAnsiTheme="minorEastAsia" w:cs="Times New Roman"/>
          <w:sz w:val="24"/>
          <w:szCs w:val="24"/>
        </w:rPr>
        <w:t>”</w:t>
      </w:r>
      <w:r>
        <w:rPr>
          <w:rFonts w:asciiTheme="minorEastAsia" w:hAnsiTheme="minorEastAsia" w:cs="Times New Roman"/>
          <w:sz w:val="24"/>
          <w:szCs w:val="24"/>
        </w:rPr>
        <w:t>，课程综合成绩构成、成绩分配比例与评分标准要明确过程考核的具体要求，让学生在过程学习中能够进行自我要求和评定。</w:t>
      </w:r>
    </w:p>
    <w:p w14:paraId="56B4FBBD"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本课程的成绩比例分配及评分标准如表</w:t>
      </w:r>
      <w:r>
        <w:rPr>
          <w:rFonts w:ascii="Times New Roman" w:hAnsi="Times New Roman" w:cs="Times New Roman"/>
          <w:sz w:val="24"/>
          <w:szCs w:val="24"/>
        </w:rPr>
        <w:t>4</w:t>
      </w:r>
      <w:r>
        <w:rPr>
          <w:rFonts w:ascii="Times New Roman" w:hAnsi="Times New Roman" w:cs="Times New Roman"/>
          <w:sz w:val="24"/>
          <w:szCs w:val="24"/>
        </w:rPr>
        <w:t>所示。</w:t>
      </w:r>
    </w:p>
    <w:p w14:paraId="782A6875" w14:textId="77777777" w:rsidR="00050759" w:rsidRDefault="0064082D">
      <w:pPr>
        <w:adjustRightInd w:val="0"/>
        <w:snapToGrid w:val="0"/>
        <w:spacing w:line="360" w:lineRule="auto"/>
        <w:ind w:firstLine="561"/>
        <w:jc w:val="center"/>
        <w:rPr>
          <w:rFonts w:ascii="Times New Roman" w:hAnsi="Times New Roman" w:cs="Times New Roman"/>
          <w:szCs w:val="21"/>
        </w:rPr>
      </w:pPr>
      <w:r>
        <w:rPr>
          <w:rFonts w:ascii="Times New Roman" w:eastAsia="宋体" w:hAnsi="Times New Roman" w:cs="Times New Roman"/>
          <w:szCs w:val="21"/>
        </w:rPr>
        <w:t>表</w:t>
      </w:r>
      <w:r>
        <w:rPr>
          <w:rFonts w:ascii="Times New Roman" w:eastAsia="宋体" w:hAnsi="Times New Roman" w:cs="Times New Roman"/>
          <w:szCs w:val="21"/>
        </w:rPr>
        <w:t xml:space="preserve">4 </w:t>
      </w:r>
      <w:r>
        <w:rPr>
          <w:rFonts w:ascii="Times New Roman" w:eastAsia="宋体" w:hAnsi="Times New Roman" w:cs="Times New Roman"/>
          <w:szCs w:val="21"/>
        </w:rPr>
        <w:t>课程成绩比</w:t>
      </w:r>
      <w:r>
        <w:rPr>
          <w:rFonts w:ascii="Times New Roman" w:eastAsia="宋体" w:hAnsi="Times New Roman" w:cs="Times New Roman"/>
          <w:szCs w:val="21"/>
        </w:rPr>
        <w:t>例分配及评分标准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647"/>
        <w:gridCol w:w="1084"/>
        <w:gridCol w:w="1046"/>
        <w:gridCol w:w="1288"/>
        <w:gridCol w:w="1219"/>
      </w:tblGrid>
      <w:tr w:rsidR="00050759" w14:paraId="5EB176EC" w14:textId="77777777">
        <w:trPr>
          <w:jc w:val="center"/>
        </w:trPr>
        <w:tc>
          <w:tcPr>
            <w:tcW w:w="2207" w:type="pct"/>
            <w:gridSpan w:val="2"/>
            <w:tcBorders>
              <w:top w:val="single" w:sz="4" w:space="0" w:color="auto"/>
              <w:left w:val="single" w:sz="4" w:space="0" w:color="auto"/>
              <w:bottom w:val="single" w:sz="4" w:space="0" w:color="auto"/>
              <w:right w:val="single" w:sz="4" w:space="0" w:color="auto"/>
            </w:tcBorders>
          </w:tcPr>
          <w:p w14:paraId="0DF658CD"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讨论</w:t>
            </w:r>
            <w:r>
              <w:rPr>
                <w:rFonts w:ascii="宋体" w:eastAsia="宋体" w:hAnsi="宋体" w:cs="Times New Roman"/>
                <w:szCs w:val="21"/>
              </w:rPr>
              <w:t>+</w:t>
            </w:r>
            <w:r>
              <w:rPr>
                <w:rFonts w:ascii="宋体" w:eastAsia="宋体" w:hAnsi="宋体" w:cs="Times New Roman"/>
                <w:szCs w:val="21"/>
              </w:rPr>
              <w:t>出勤（</w:t>
            </w:r>
            <w:r>
              <w:rPr>
                <w:rFonts w:ascii="宋体" w:eastAsia="宋体" w:hAnsi="宋体" w:cs="Times New Roman"/>
                <w:szCs w:val="21"/>
              </w:rPr>
              <w:t>20-25%</w:t>
            </w:r>
            <w:r>
              <w:rPr>
                <w:rFonts w:ascii="宋体" w:eastAsia="宋体" w:hAnsi="宋体" w:cs="Times New Roman"/>
                <w:szCs w:val="21"/>
              </w:rPr>
              <w:t>）</w:t>
            </w:r>
          </w:p>
        </w:tc>
        <w:tc>
          <w:tcPr>
            <w:tcW w:w="1283" w:type="pct"/>
            <w:gridSpan w:val="2"/>
            <w:tcBorders>
              <w:top w:val="single" w:sz="4" w:space="0" w:color="auto"/>
              <w:left w:val="nil"/>
              <w:bottom w:val="single" w:sz="4" w:space="0" w:color="auto"/>
              <w:right w:val="single" w:sz="4" w:space="0" w:color="auto"/>
            </w:tcBorders>
          </w:tcPr>
          <w:p w14:paraId="3EB97389"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作业（</w:t>
            </w:r>
            <w:r>
              <w:rPr>
                <w:rFonts w:ascii="宋体" w:eastAsia="宋体" w:hAnsi="宋体" w:cs="Times New Roman"/>
                <w:szCs w:val="21"/>
              </w:rPr>
              <w:t>10%</w:t>
            </w:r>
            <w:r>
              <w:rPr>
                <w:rFonts w:ascii="宋体" w:eastAsia="宋体" w:hAnsi="宋体" w:cs="Times New Roman"/>
                <w:szCs w:val="21"/>
              </w:rPr>
              <w:t>）</w:t>
            </w:r>
          </w:p>
        </w:tc>
        <w:tc>
          <w:tcPr>
            <w:tcW w:w="1510" w:type="pct"/>
            <w:gridSpan w:val="2"/>
            <w:tcBorders>
              <w:top w:val="single" w:sz="4" w:space="0" w:color="auto"/>
              <w:left w:val="nil"/>
              <w:bottom w:val="single" w:sz="4" w:space="0" w:color="auto"/>
              <w:right w:val="single" w:sz="4" w:space="0" w:color="auto"/>
            </w:tcBorders>
          </w:tcPr>
          <w:p w14:paraId="6B92180C"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考试（</w:t>
            </w:r>
            <w:r>
              <w:rPr>
                <w:rFonts w:ascii="宋体" w:eastAsia="宋体" w:hAnsi="宋体" w:cs="Times New Roman"/>
                <w:szCs w:val="21"/>
              </w:rPr>
              <w:t>65-70%</w:t>
            </w:r>
            <w:r>
              <w:rPr>
                <w:rFonts w:ascii="宋体" w:eastAsia="宋体" w:hAnsi="宋体" w:cs="Times New Roman"/>
                <w:szCs w:val="21"/>
              </w:rPr>
              <w:t>）</w:t>
            </w:r>
          </w:p>
        </w:tc>
      </w:tr>
      <w:tr w:rsidR="00050759" w14:paraId="38E53827" w14:textId="77777777">
        <w:trPr>
          <w:jc w:val="center"/>
        </w:trPr>
        <w:tc>
          <w:tcPr>
            <w:tcW w:w="1215" w:type="pct"/>
            <w:tcBorders>
              <w:top w:val="single" w:sz="4" w:space="0" w:color="auto"/>
              <w:left w:val="single" w:sz="4" w:space="0" w:color="auto"/>
              <w:bottom w:val="single" w:sz="4" w:space="0" w:color="auto"/>
              <w:right w:val="single" w:sz="4" w:space="0" w:color="auto"/>
            </w:tcBorders>
            <w:vAlign w:val="center"/>
          </w:tcPr>
          <w:p w14:paraId="592C3198"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讨论（</w:t>
            </w:r>
            <w:r>
              <w:rPr>
                <w:rFonts w:ascii="宋体" w:eastAsia="宋体" w:hAnsi="宋体" w:cs="Times New Roman"/>
                <w:szCs w:val="21"/>
              </w:rPr>
              <w:t>15-20%</w:t>
            </w:r>
            <w:r>
              <w:rPr>
                <w:rFonts w:ascii="宋体" w:eastAsia="宋体" w:hAnsi="宋体" w:cs="Times New Roman"/>
                <w:szCs w:val="21"/>
              </w:rPr>
              <w:t>）</w:t>
            </w:r>
          </w:p>
        </w:tc>
        <w:tc>
          <w:tcPr>
            <w:tcW w:w="992" w:type="pct"/>
            <w:tcBorders>
              <w:top w:val="single" w:sz="4" w:space="0" w:color="auto"/>
              <w:left w:val="nil"/>
              <w:bottom w:val="single" w:sz="4" w:space="0" w:color="auto"/>
              <w:right w:val="single" w:sz="4" w:space="0" w:color="auto"/>
            </w:tcBorders>
            <w:vAlign w:val="center"/>
          </w:tcPr>
          <w:p w14:paraId="0F7789B6"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出勤（</w:t>
            </w:r>
            <w:r>
              <w:rPr>
                <w:rFonts w:ascii="宋体" w:eastAsia="宋体" w:hAnsi="宋体" w:cs="Times New Roman"/>
                <w:szCs w:val="21"/>
              </w:rPr>
              <w:t>5%</w:t>
            </w:r>
            <w:r>
              <w:rPr>
                <w:rFonts w:ascii="宋体" w:eastAsia="宋体" w:hAnsi="宋体" w:cs="Times New Roman"/>
                <w:szCs w:val="21"/>
              </w:rPr>
              <w:t>）</w:t>
            </w:r>
          </w:p>
        </w:tc>
        <w:tc>
          <w:tcPr>
            <w:tcW w:w="653" w:type="pct"/>
            <w:tcBorders>
              <w:top w:val="single" w:sz="4" w:space="0" w:color="auto"/>
              <w:left w:val="nil"/>
              <w:bottom w:val="single" w:sz="4" w:space="0" w:color="auto"/>
              <w:right w:val="single" w:sz="4" w:space="0" w:color="auto"/>
            </w:tcBorders>
            <w:vAlign w:val="center"/>
          </w:tcPr>
          <w:p w14:paraId="77EAB766"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主观</w:t>
            </w:r>
          </w:p>
        </w:tc>
        <w:tc>
          <w:tcPr>
            <w:tcW w:w="630" w:type="pct"/>
            <w:tcBorders>
              <w:top w:val="single" w:sz="4" w:space="0" w:color="auto"/>
              <w:left w:val="nil"/>
              <w:bottom w:val="single" w:sz="4" w:space="0" w:color="auto"/>
              <w:right w:val="single" w:sz="4" w:space="0" w:color="auto"/>
            </w:tcBorders>
            <w:vAlign w:val="center"/>
          </w:tcPr>
          <w:p w14:paraId="028AAB4F"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客观</w:t>
            </w:r>
          </w:p>
        </w:tc>
        <w:tc>
          <w:tcPr>
            <w:tcW w:w="776" w:type="pct"/>
            <w:tcBorders>
              <w:top w:val="single" w:sz="4" w:space="0" w:color="auto"/>
              <w:left w:val="nil"/>
              <w:bottom w:val="single" w:sz="4" w:space="0" w:color="auto"/>
              <w:right w:val="single" w:sz="4" w:space="0" w:color="auto"/>
            </w:tcBorders>
            <w:vAlign w:val="center"/>
          </w:tcPr>
          <w:p w14:paraId="1CDAB4DE"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期中（</w:t>
            </w:r>
            <w:r>
              <w:rPr>
                <w:rFonts w:ascii="宋体" w:eastAsia="宋体" w:hAnsi="宋体" w:cs="Times New Roman"/>
                <w:szCs w:val="21"/>
              </w:rPr>
              <w:t>25-30%</w:t>
            </w:r>
            <w:r>
              <w:rPr>
                <w:rFonts w:ascii="宋体" w:eastAsia="宋体" w:hAnsi="宋体" w:cs="Times New Roman"/>
                <w:szCs w:val="21"/>
              </w:rPr>
              <w:t>）</w:t>
            </w:r>
          </w:p>
        </w:tc>
        <w:tc>
          <w:tcPr>
            <w:tcW w:w="734" w:type="pct"/>
            <w:tcBorders>
              <w:top w:val="single" w:sz="4" w:space="0" w:color="auto"/>
              <w:left w:val="nil"/>
              <w:bottom w:val="single" w:sz="4" w:space="0" w:color="auto"/>
              <w:right w:val="single" w:sz="4" w:space="0" w:color="auto"/>
            </w:tcBorders>
            <w:vAlign w:val="center"/>
          </w:tcPr>
          <w:p w14:paraId="0D5960DA" w14:textId="77777777" w:rsidR="00050759" w:rsidRDefault="0064082D">
            <w:pPr>
              <w:adjustRightInd w:val="0"/>
              <w:snapToGrid w:val="0"/>
              <w:jc w:val="center"/>
              <w:rPr>
                <w:rFonts w:ascii="宋体" w:eastAsia="宋体" w:hAnsi="宋体" w:cs="Times New Roman"/>
                <w:szCs w:val="21"/>
              </w:rPr>
            </w:pPr>
            <w:r>
              <w:rPr>
                <w:rFonts w:ascii="宋体" w:eastAsia="宋体" w:hAnsi="宋体" w:cs="Times New Roman"/>
                <w:szCs w:val="21"/>
              </w:rPr>
              <w:t>期末（</w:t>
            </w:r>
            <w:r>
              <w:rPr>
                <w:rFonts w:ascii="宋体" w:eastAsia="宋体" w:hAnsi="宋体" w:cs="Times New Roman"/>
                <w:szCs w:val="21"/>
              </w:rPr>
              <w:t>40%</w:t>
            </w:r>
            <w:r>
              <w:rPr>
                <w:rFonts w:ascii="宋体" w:eastAsia="宋体" w:hAnsi="宋体" w:cs="Times New Roman"/>
                <w:szCs w:val="21"/>
              </w:rPr>
              <w:t>）</w:t>
            </w:r>
          </w:p>
        </w:tc>
      </w:tr>
      <w:tr w:rsidR="00050759" w14:paraId="1F9E2CDD" w14:textId="77777777">
        <w:trPr>
          <w:jc w:val="center"/>
        </w:trPr>
        <w:tc>
          <w:tcPr>
            <w:tcW w:w="2207" w:type="pct"/>
            <w:gridSpan w:val="2"/>
            <w:tcBorders>
              <w:top w:val="single" w:sz="4" w:space="0" w:color="auto"/>
              <w:left w:val="single" w:sz="4" w:space="0" w:color="auto"/>
              <w:bottom w:val="single" w:sz="4" w:space="0" w:color="auto"/>
              <w:right w:val="single" w:sz="4" w:space="0" w:color="auto"/>
            </w:tcBorders>
          </w:tcPr>
          <w:p w14:paraId="4CA80968"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rPr>
              <w:t>出勤考核由课堂出勤与在线学习时长两部分构成。</w:t>
            </w:r>
          </w:p>
          <w:p w14:paraId="657DC16E"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rPr>
              <w:t>讨论考核由以下因素组成：</w:t>
            </w:r>
          </w:p>
          <w:p w14:paraId="24729352"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1</w:t>
            </w:r>
            <w:r>
              <w:rPr>
                <w:rFonts w:ascii="宋体" w:hAnsi="宋体" w:cs="Times New Roman"/>
              </w:rPr>
              <w:t>.</w:t>
            </w:r>
            <w:r>
              <w:rPr>
                <w:rFonts w:ascii="宋体" w:hAnsi="宋体" w:cs="Times New Roman"/>
              </w:rPr>
              <w:t>课堂讨论参与的次数；</w:t>
            </w:r>
          </w:p>
          <w:p w14:paraId="5A8A7C04"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2</w:t>
            </w:r>
            <w:r>
              <w:rPr>
                <w:rFonts w:ascii="宋体" w:hAnsi="宋体" w:cs="Times New Roman"/>
              </w:rPr>
              <w:t>.</w:t>
            </w:r>
            <w:r>
              <w:rPr>
                <w:rFonts w:ascii="宋体" w:hAnsi="宋体" w:cs="Times New Roman"/>
              </w:rPr>
              <w:t>是否具备进行铁路行车组织工作的良好素养以及解决铁路复杂工程问题的能力；</w:t>
            </w:r>
          </w:p>
          <w:p w14:paraId="0DC48D62"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3</w:t>
            </w:r>
            <w:r>
              <w:rPr>
                <w:rFonts w:ascii="宋体" w:hAnsi="宋体" w:cs="Times New Roman"/>
              </w:rPr>
              <w:t>.</w:t>
            </w:r>
            <w:r>
              <w:rPr>
                <w:rFonts w:ascii="宋体" w:hAnsi="宋体" w:cs="Times New Roman"/>
              </w:rPr>
              <w:t>是否掌握基本的创新方法，具有追求创新的态度和意识；</w:t>
            </w:r>
            <w:r>
              <w:rPr>
                <w:rFonts w:ascii="宋体" w:hAnsi="宋体" w:cs="Times New Roman"/>
              </w:rPr>
              <w:t> </w:t>
            </w:r>
          </w:p>
          <w:p w14:paraId="4870999B"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4</w:t>
            </w:r>
            <w:r>
              <w:rPr>
                <w:rFonts w:ascii="宋体" w:hAnsi="宋体" w:cs="Times New Roman"/>
              </w:rPr>
              <w:t>.</w:t>
            </w:r>
            <w:r>
              <w:rPr>
                <w:rFonts w:ascii="宋体" w:hAnsi="宋体" w:cs="Times New Roman"/>
              </w:rPr>
              <w:t>是否具有国际视野；</w:t>
            </w:r>
          </w:p>
          <w:p w14:paraId="22C1A135"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5</w:t>
            </w:r>
            <w:r>
              <w:rPr>
                <w:rFonts w:ascii="宋体" w:hAnsi="宋体" w:cs="Times New Roman"/>
              </w:rPr>
              <w:t>.</w:t>
            </w:r>
            <w:r>
              <w:rPr>
                <w:rFonts w:ascii="宋体" w:hAnsi="宋体" w:cs="Times New Roman"/>
              </w:rPr>
              <w:t>是否具备铁路大局观、集体观意识。</w:t>
            </w:r>
          </w:p>
        </w:tc>
        <w:tc>
          <w:tcPr>
            <w:tcW w:w="1283" w:type="pct"/>
            <w:gridSpan w:val="2"/>
            <w:tcBorders>
              <w:top w:val="single" w:sz="4" w:space="0" w:color="auto"/>
              <w:left w:val="nil"/>
              <w:bottom w:val="single" w:sz="4" w:space="0" w:color="auto"/>
              <w:right w:val="single" w:sz="4" w:space="0" w:color="auto"/>
            </w:tcBorders>
          </w:tcPr>
          <w:p w14:paraId="7952362F"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1</w:t>
            </w:r>
            <w:r>
              <w:rPr>
                <w:rFonts w:ascii="宋体" w:hAnsi="宋体" w:cs="Times New Roman"/>
              </w:rPr>
              <w:t>.</w:t>
            </w:r>
            <w:r>
              <w:rPr>
                <w:rFonts w:ascii="宋体" w:hAnsi="宋体" w:cs="Times New Roman"/>
              </w:rPr>
              <w:t>客观题由线上系统自动评阅；</w:t>
            </w:r>
          </w:p>
          <w:p w14:paraId="61F5914C"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2</w:t>
            </w:r>
            <w:r>
              <w:rPr>
                <w:rFonts w:ascii="宋体" w:hAnsi="宋体" w:cs="Times New Roman"/>
              </w:rPr>
              <w:t>.</w:t>
            </w:r>
            <w:r>
              <w:rPr>
                <w:rFonts w:ascii="宋体" w:hAnsi="宋体" w:cs="Times New Roman"/>
              </w:rPr>
              <w:t>主观题由学生根据课程组给出的评分标准采用线上互评打分，不参与互评的同学不得分。</w:t>
            </w:r>
          </w:p>
        </w:tc>
        <w:tc>
          <w:tcPr>
            <w:tcW w:w="1510" w:type="pct"/>
            <w:gridSpan w:val="2"/>
            <w:tcBorders>
              <w:top w:val="single" w:sz="4" w:space="0" w:color="auto"/>
              <w:left w:val="nil"/>
              <w:bottom w:val="single" w:sz="4" w:space="0" w:color="auto"/>
              <w:right w:val="single" w:sz="4" w:space="0" w:color="auto"/>
            </w:tcBorders>
          </w:tcPr>
          <w:p w14:paraId="24D403ED"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1</w:t>
            </w:r>
            <w:r>
              <w:rPr>
                <w:rFonts w:ascii="宋体" w:hAnsi="宋体" w:cs="Times New Roman"/>
              </w:rPr>
              <w:t>.</w:t>
            </w:r>
            <w:r>
              <w:rPr>
                <w:rFonts w:ascii="宋体" w:hAnsi="宋体" w:cs="Times New Roman"/>
              </w:rPr>
              <w:t>由课程组按照课程达成度要求统一出题；</w:t>
            </w:r>
          </w:p>
          <w:p w14:paraId="74A7637A"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2</w:t>
            </w:r>
            <w:r>
              <w:rPr>
                <w:rFonts w:ascii="宋体" w:hAnsi="宋体" w:cs="Times New Roman"/>
              </w:rPr>
              <w:t>.</w:t>
            </w:r>
            <w:r>
              <w:rPr>
                <w:rFonts w:ascii="宋体" w:hAnsi="宋体" w:cs="Times New Roman"/>
              </w:rPr>
              <w:t>由专业负责人与系主任对试卷的合理性进行审核；</w:t>
            </w:r>
          </w:p>
          <w:p w14:paraId="54A02AFE" w14:textId="77777777" w:rsidR="00050759" w:rsidRDefault="0064082D">
            <w:pPr>
              <w:pStyle w:val="10"/>
              <w:adjustRightInd w:val="0"/>
              <w:snapToGrid w:val="0"/>
              <w:ind w:firstLineChars="0" w:firstLine="0"/>
              <w:rPr>
                <w:rFonts w:ascii="宋体" w:hAnsi="宋体" w:cs="Times New Roman"/>
              </w:rPr>
            </w:pPr>
            <w:r>
              <w:rPr>
                <w:rFonts w:ascii="宋体" w:hAnsi="宋体" w:cs="Times New Roman" w:hint="eastAsia"/>
              </w:rPr>
              <w:t>3</w:t>
            </w:r>
            <w:r>
              <w:rPr>
                <w:rFonts w:ascii="宋体" w:hAnsi="宋体" w:cs="Times New Roman"/>
              </w:rPr>
              <w:t>.</w:t>
            </w:r>
            <w:r>
              <w:rPr>
                <w:rFonts w:ascii="宋体" w:hAnsi="宋体" w:cs="Times New Roman"/>
              </w:rPr>
              <w:t>由课程组根据阅卷标准统一阅卷。</w:t>
            </w:r>
          </w:p>
        </w:tc>
      </w:tr>
    </w:tbl>
    <w:p w14:paraId="122BE4EB" w14:textId="77777777" w:rsidR="00050759" w:rsidRDefault="00050759">
      <w:pPr>
        <w:adjustRightInd w:val="0"/>
        <w:snapToGrid w:val="0"/>
        <w:jc w:val="center"/>
        <w:rPr>
          <w:rFonts w:ascii="Times New Roman" w:eastAsia="宋体" w:hAnsi="Times New Roman" w:cs="Times New Roman"/>
          <w:sz w:val="24"/>
        </w:rPr>
      </w:pPr>
    </w:p>
    <w:p w14:paraId="38F9BB8D"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应及时将考核结果反馈给学生，从而帮助学生更好学习。</w:t>
      </w:r>
    </w:p>
    <w:p w14:paraId="5F9CE231"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在线或课下布置的习题，应及时给出参考答案并提供详细的评分标准。课堂或在线讨论区的研讨，任课教师应积极参与并给出点评，给学生提供进一步思考的方向。各任课教师在期中考试后应对试卷进行详细讲解或提供参考答案。</w:t>
      </w:r>
    </w:p>
    <w:p w14:paraId="209E6711" w14:textId="77777777" w:rsidR="00050759" w:rsidRDefault="0064082D">
      <w:pPr>
        <w:pStyle w:val="1"/>
        <w:spacing w:beforeLines="75" w:before="239" w:afterLines="25" w:after="79"/>
        <w:rPr>
          <w:rFonts w:ascii="Times New Roman" w:hAnsi="Times New Roman" w:cs="Times New Roman"/>
          <w:szCs w:val="24"/>
        </w:rPr>
      </w:pPr>
      <w:r>
        <w:rPr>
          <w:rFonts w:ascii="Times New Roman" w:hAnsi="Times New Roman" w:cs="Times New Roman" w:hint="eastAsia"/>
          <w:szCs w:val="24"/>
        </w:rPr>
        <w:t>六、</w:t>
      </w:r>
      <w:r>
        <w:rPr>
          <w:rFonts w:ascii="Times New Roman" w:hAnsi="Times New Roman" w:cs="Times New Roman"/>
          <w:szCs w:val="24"/>
        </w:rPr>
        <w:t>学习成果</w:t>
      </w:r>
      <w:r>
        <w:rPr>
          <w:rFonts w:ascii="Times New Roman" w:hAnsi="Times New Roman" w:cs="Times New Roman"/>
          <w:szCs w:val="24"/>
        </w:rPr>
        <w:t xml:space="preserve"> </w:t>
      </w:r>
    </w:p>
    <w:p w14:paraId="77E4B4EA"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学习成果应围绕教学目标达成，为学生创造有意义的学习经历。</w:t>
      </w:r>
    </w:p>
    <w:p w14:paraId="1BFD68A0"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针对教学目标实施教学过程，使课程在价值塑造、人格养成、能力培养和知识探究</w:t>
      </w:r>
      <w:r>
        <w:rPr>
          <w:rFonts w:ascii="Times New Roman" w:hAnsi="Times New Roman" w:cs="Times New Roman"/>
          <w:sz w:val="24"/>
          <w:szCs w:val="24"/>
        </w:rPr>
        <w:t>4</w:t>
      </w:r>
      <w:r>
        <w:rPr>
          <w:rFonts w:ascii="Times New Roman" w:hAnsi="Times New Roman" w:cs="Times New Roman"/>
          <w:sz w:val="24"/>
          <w:szCs w:val="24"/>
        </w:rPr>
        <w:t>个维度上，对学生成长与发展带来积极而深远的影响。</w:t>
      </w:r>
    </w:p>
    <w:p w14:paraId="63A38017"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课程组各任课教师应参考课程明确的思政建设目标积极开展课程思政，结合行车组织课程内容特点，深挖思政元素</w:t>
      </w:r>
      <w:r>
        <w:rPr>
          <w:rFonts w:ascii="Times New Roman" w:hAnsi="Times New Roman" w:cs="Times New Roman"/>
          <w:sz w:val="24"/>
          <w:szCs w:val="24"/>
        </w:rPr>
        <w:t>，将课程思政融入教学全过程；以典型行车组织复杂工程问题导入，采用启发式研究型教学、虚拟仿真沉浸式教学，通过分组讨论、探索式学习和科研创新等培养学生的职业素养、系统思维、全局意识、团队精神和协同组织决策能力。本课程的课程思政建设目标如图</w:t>
      </w:r>
      <w:r>
        <w:rPr>
          <w:rFonts w:ascii="Times New Roman" w:hAnsi="Times New Roman" w:cs="Times New Roman"/>
          <w:sz w:val="24"/>
          <w:szCs w:val="24"/>
        </w:rPr>
        <w:t>1</w:t>
      </w:r>
      <w:r>
        <w:rPr>
          <w:rFonts w:ascii="Times New Roman" w:hAnsi="Times New Roman" w:cs="Times New Roman"/>
          <w:sz w:val="24"/>
          <w:szCs w:val="24"/>
        </w:rPr>
        <w:t>所示。</w:t>
      </w:r>
    </w:p>
    <w:p w14:paraId="1275D484" w14:textId="77777777" w:rsidR="00050759" w:rsidRDefault="0064082D">
      <w:pPr>
        <w:adjustRightInd w:val="0"/>
        <w:snapToGrid w:val="0"/>
        <w:spacing w:line="300" w:lineRule="auto"/>
        <w:jc w:val="center"/>
        <w:rPr>
          <w:rFonts w:ascii="Times New Roman" w:hAnsi="Times New Roman" w:cs="Times New Roman"/>
          <w:sz w:val="28"/>
          <w:szCs w:val="28"/>
        </w:rPr>
      </w:pPr>
      <w:r>
        <w:rPr>
          <w:noProof/>
        </w:rPr>
        <w:drawing>
          <wp:inline distT="0" distB="0" distL="0" distR="0" wp14:anchorId="7BD703B0" wp14:editId="02B56769">
            <wp:extent cx="4623435" cy="2901315"/>
            <wp:effectExtent l="0" t="0" r="571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 cstate="print">
                      <a:extLst>
                        <a:ext uri="{28A0092B-C50C-407E-A947-70E740481C1C}">
                          <a14:useLocalDpi xmlns:a14="http://schemas.microsoft.com/office/drawing/2010/main" val="0"/>
                        </a:ext>
                      </a:extLst>
                    </a:blip>
                    <a:srcRect b="9899"/>
                    <a:stretch>
                      <a:fillRect/>
                    </a:stretch>
                  </pic:blipFill>
                  <pic:spPr>
                    <a:xfrm>
                      <a:off x="0" y="0"/>
                      <a:ext cx="4644061" cy="2901315"/>
                    </a:xfrm>
                    <a:prstGeom prst="rect">
                      <a:avLst/>
                    </a:prstGeom>
                    <a:noFill/>
                  </pic:spPr>
                </pic:pic>
              </a:graphicData>
            </a:graphic>
          </wp:inline>
        </w:drawing>
      </w:r>
    </w:p>
    <w:p w14:paraId="4D667D7B" w14:textId="77777777" w:rsidR="00050759" w:rsidRDefault="0064082D">
      <w:pPr>
        <w:adjustRightInd w:val="0"/>
        <w:snapToGrid w:val="0"/>
        <w:ind w:firstLine="560"/>
        <w:jc w:val="center"/>
        <w:rPr>
          <w:rFonts w:ascii="Times New Roman" w:eastAsia="宋体" w:hAnsi="Times New Roman" w:cs="Times New Roman"/>
          <w:szCs w:val="21"/>
        </w:rPr>
      </w:pPr>
      <w:r>
        <w:rPr>
          <w:rFonts w:ascii="Times New Roman" w:eastAsia="宋体" w:hAnsi="Times New Roman" w:cs="Times New Roman"/>
          <w:szCs w:val="21"/>
        </w:rPr>
        <w:t>图</w:t>
      </w:r>
      <w:r>
        <w:rPr>
          <w:rFonts w:ascii="Times New Roman" w:eastAsia="宋体" w:hAnsi="Times New Roman" w:cs="Times New Roman"/>
          <w:szCs w:val="21"/>
        </w:rPr>
        <w:t xml:space="preserve">1 </w:t>
      </w:r>
      <w:r>
        <w:rPr>
          <w:rFonts w:ascii="Times New Roman" w:eastAsia="宋体" w:hAnsi="Times New Roman" w:cs="Times New Roman" w:hint="eastAsia"/>
          <w:szCs w:val="21"/>
        </w:rPr>
        <w:t>《行车组织》</w:t>
      </w:r>
      <w:r>
        <w:rPr>
          <w:rFonts w:ascii="Times New Roman" w:eastAsia="宋体" w:hAnsi="Times New Roman" w:cs="Times New Roman"/>
          <w:szCs w:val="21"/>
        </w:rPr>
        <w:t>课程思政建设目标</w:t>
      </w:r>
    </w:p>
    <w:p w14:paraId="6FE8B3FE" w14:textId="77777777" w:rsidR="00050759" w:rsidRDefault="00050759">
      <w:pPr>
        <w:adjustRightInd w:val="0"/>
        <w:snapToGrid w:val="0"/>
        <w:ind w:firstLine="560"/>
        <w:jc w:val="center"/>
        <w:rPr>
          <w:rFonts w:ascii="Times New Roman" w:eastAsia="宋体" w:hAnsi="Times New Roman" w:cs="Times New Roman"/>
          <w:sz w:val="24"/>
        </w:rPr>
      </w:pPr>
    </w:p>
    <w:p w14:paraId="4D4E0F15"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课程应当对学生学习成果有明确地评价方法，相关证明材料及其分析能够清晰反应学生的课程学习成果，且这些学习成果与教学目标相对应。</w:t>
      </w:r>
    </w:p>
    <w:p w14:paraId="46A5838D" w14:textId="77777777" w:rsidR="00050759" w:rsidRDefault="0064082D">
      <w:pPr>
        <w:adjustRightInd w:val="0"/>
        <w:snapToGrid w:val="0"/>
        <w:spacing w:line="360" w:lineRule="auto"/>
        <w:ind w:firstLineChars="200" w:firstLine="480"/>
        <w:rPr>
          <w:rFonts w:ascii="Times New Roman" w:hAnsi="Times New Roman" w:cs="Times New Roman"/>
          <w:sz w:val="28"/>
          <w:szCs w:val="28"/>
        </w:rPr>
      </w:pPr>
      <w:r>
        <w:rPr>
          <w:rFonts w:ascii="Times New Roman" w:hAnsi="Times New Roman" w:cs="Times New Roman"/>
          <w:sz w:val="24"/>
          <w:szCs w:val="24"/>
        </w:rPr>
        <w:t>课</w:t>
      </w:r>
      <w:r>
        <w:rPr>
          <w:rFonts w:asciiTheme="minorEastAsia" w:hAnsiTheme="minorEastAsia" w:cs="Times New Roman"/>
          <w:sz w:val="24"/>
          <w:szCs w:val="24"/>
        </w:rPr>
        <w:t>程构建</w:t>
      </w:r>
      <w:r>
        <w:rPr>
          <w:rFonts w:asciiTheme="minorEastAsia" w:hAnsiTheme="minorEastAsia" w:cs="Times New Roman"/>
          <w:sz w:val="24"/>
          <w:szCs w:val="24"/>
        </w:rPr>
        <w:t>“</w:t>
      </w:r>
      <w:r>
        <w:rPr>
          <w:rFonts w:asciiTheme="minorEastAsia" w:hAnsiTheme="minorEastAsia" w:cs="Times New Roman"/>
          <w:sz w:val="24"/>
          <w:szCs w:val="24"/>
        </w:rPr>
        <w:t>过程和结果并重</w:t>
      </w:r>
      <w:r>
        <w:rPr>
          <w:rFonts w:asciiTheme="minorEastAsia" w:hAnsiTheme="minorEastAsia" w:cs="Times New Roman"/>
          <w:sz w:val="24"/>
          <w:szCs w:val="24"/>
        </w:rPr>
        <w:t>”</w:t>
      </w:r>
      <w:r>
        <w:rPr>
          <w:rFonts w:asciiTheme="minorEastAsia" w:hAnsiTheme="minorEastAsia" w:cs="Times New Roman"/>
          <w:sz w:val="24"/>
          <w:szCs w:val="24"/>
        </w:rPr>
        <w:t>，</w:t>
      </w:r>
      <w:r>
        <w:rPr>
          <w:rFonts w:asciiTheme="minorEastAsia" w:hAnsiTheme="minorEastAsia" w:cs="Times New Roman"/>
          <w:sz w:val="24"/>
          <w:szCs w:val="24"/>
        </w:rPr>
        <w:t>“</w:t>
      </w:r>
      <w:r>
        <w:rPr>
          <w:rFonts w:asciiTheme="minorEastAsia" w:hAnsiTheme="minorEastAsia" w:cs="Times New Roman"/>
          <w:sz w:val="24"/>
          <w:szCs w:val="24"/>
        </w:rPr>
        <w:t>能力和知识并重</w:t>
      </w:r>
      <w:r>
        <w:rPr>
          <w:rFonts w:asciiTheme="minorEastAsia" w:hAnsiTheme="minorEastAsia" w:cs="Times New Roman"/>
          <w:sz w:val="24"/>
          <w:szCs w:val="24"/>
        </w:rPr>
        <w:t>”</w:t>
      </w:r>
      <w:r>
        <w:rPr>
          <w:rFonts w:asciiTheme="minorEastAsia" w:hAnsiTheme="minorEastAsia" w:cs="Times New Roman"/>
          <w:sz w:val="24"/>
          <w:szCs w:val="24"/>
        </w:rPr>
        <w:t>的课程评价体系，将平时作业、讨论、单元测验、期中、期末考试等均纳入考核指标，检测学习全过程。另外，积极探索将思想政治教育评价融入课程平时考核，可以结合问卷调查、谈话交流等多种途径对课程思政的效果进行评估。课程期末考试结束后，对全年级成绩统一进行达成度分析，反馈后续教学。</w:t>
      </w:r>
    </w:p>
    <w:p w14:paraId="56B499C7" w14:textId="77777777" w:rsidR="00050759" w:rsidRDefault="0064082D">
      <w:pPr>
        <w:pStyle w:val="1"/>
        <w:spacing w:beforeLines="75" w:before="239" w:afterLines="25" w:after="79"/>
        <w:rPr>
          <w:rFonts w:ascii="Times New Roman" w:hAnsi="Times New Roman" w:cs="Times New Roman"/>
          <w:szCs w:val="24"/>
        </w:rPr>
      </w:pPr>
      <w:r>
        <w:rPr>
          <w:rFonts w:ascii="Times New Roman" w:hAnsi="Times New Roman" w:cs="Times New Roman" w:hint="eastAsia"/>
          <w:szCs w:val="24"/>
        </w:rPr>
        <w:t>七、</w:t>
      </w:r>
      <w:r>
        <w:rPr>
          <w:rFonts w:ascii="Times New Roman" w:hAnsi="Times New Roman" w:cs="Times New Roman"/>
          <w:szCs w:val="24"/>
        </w:rPr>
        <w:t>教学资源与学习支持</w:t>
      </w:r>
      <w:r>
        <w:rPr>
          <w:rFonts w:ascii="Times New Roman" w:hAnsi="Times New Roman" w:cs="Times New Roman"/>
          <w:szCs w:val="24"/>
        </w:rPr>
        <w:t xml:space="preserve"> </w:t>
      </w:r>
    </w:p>
    <w:p w14:paraId="697C5429"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注重高阶教学资源的持续建设与运用。围绕国家重大战略需求，紧跟行业发展和科技前沿，依托先进的信息技术，及时更新课程内容，保证课程的前沿性、高阶性与挑战度，强化学生自主</w:t>
      </w:r>
      <w:r>
        <w:rPr>
          <w:rFonts w:ascii="Times New Roman" w:hAnsi="Times New Roman" w:cs="Times New Roman"/>
          <w:sz w:val="24"/>
          <w:szCs w:val="24"/>
        </w:rPr>
        <w:t>学习能力以及对铁路生产现场适应能力的培养。</w:t>
      </w:r>
    </w:p>
    <w:p w14:paraId="61B5A62C"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本课程配套使用的教学资源如下：</w:t>
      </w:r>
    </w:p>
    <w:p w14:paraId="10B4DACD" w14:textId="77777777" w:rsidR="00050759" w:rsidRDefault="0064082D">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彭其渊、王慈光主编，铁路行车组织（第</w:t>
      </w:r>
      <w:r>
        <w:rPr>
          <w:rFonts w:ascii="Times New Roman" w:hAnsi="Times New Roman" w:cs="Times New Roman"/>
          <w:sz w:val="24"/>
          <w:szCs w:val="24"/>
        </w:rPr>
        <w:t>2</w:t>
      </w:r>
      <w:r>
        <w:rPr>
          <w:rFonts w:ascii="Times New Roman" w:hAnsi="Times New Roman" w:cs="Times New Roman"/>
          <w:sz w:val="24"/>
          <w:szCs w:val="24"/>
        </w:rPr>
        <w:t>版），中国铁道出版社，</w:t>
      </w:r>
      <w:r>
        <w:rPr>
          <w:rFonts w:ascii="Times New Roman" w:hAnsi="Times New Roman" w:cs="Times New Roman"/>
          <w:sz w:val="24"/>
          <w:szCs w:val="24"/>
        </w:rPr>
        <w:t xml:space="preserve">2015.4 </w:t>
      </w:r>
    </w:p>
    <w:p w14:paraId="053AA4C5" w14:textId="77777777" w:rsidR="00050759" w:rsidRDefault="0064082D">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彭其渊、文超主编，高速铁路运输组织基础（第</w:t>
      </w:r>
      <w:r>
        <w:rPr>
          <w:rFonts w:ascii="Times New Roman" w:hAnsi="Times New Roman" w:cs="Times New Roman"/>
          <w:sz w:val="24"/>
          <w:szCs w:val="24"/>
        </w:rPr>
        <w:t>2</w:t>
      </w:r>
      <w:r>
        <w:rPr>
          <w:rFonts w:ascii="Times New Roman" w:hAnsi="Times New Roman" w:cs="Times New Roman"/>
          <w:sz w:val="24"/>
          <w:szCs w:val="24"/>
        </w:rPr>
        <w:t>版），西南交通大学出版社，</w:t>
      </w:r>
      <w:r>
        <w:rPr>
          <w:rFonts w:ascii="Times New Roman" w:hAnsi="Times New Roman" w:cs="Times New Roman"/>
          <w:sz w:val="24"/>
          <w:szCs w:val="24"/>
        </w:rPr>
        <w:t>2014.9</w:t>
      </w:r>
    </w:p>
    <w:p w14:paraId="35CFD92E" w14:textId="77777777" w:rsidR="00050759" w:rsidRDefault="0064082D">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彭其渊、文超主编，高速铁路调度指挥（第</w:t>
      </w:r>
      <w:r>
        <w:rPr>
          <w:rFonts w:ascii="Times New Roman" w:hAnsi="Times New Roman" w:cs="Times New Roman"/>
          <w:sz w:val="24"/>
          <w:szCs w:val="24"/>
        </w:rPr>
        <w:t>2</w:t>
      </w:r>
      <w:r>
        <w:rPr>
          <w:rFonts w:ascii="Times New Roman" w:hAnsi="Times New Roman" w:cs="Times New Roman"/>
          <w:sz w:val="24"/>
          <w:szCs w:val="24"/>
        </w:rPr>
        <w:t>版），中国铁道出版社，</w:t>
      </w:r>
      <w:r>
        <w:rPr>
          <w:rFonts w:ascii="Times New Roman" w:hAnsi="Times New Roman" w:cs="Times New Roman"/>
          <w:sz w:val="24"/>
          <w:szCs w:val="24"/>
        </w:rPr>
        <w:t>2016.6</w:t>
      </w:r>
    </w:p>
    <w:p w14:paraId="01CB9BB9" w14:textId="77777777" w:rsidR="00050759" w:rsidRDefault="0064082D">
      <w:pPr>
        <w:adjustRightInd w:val="0"/>
        <w:snapToGrid w:val="0"/>
        <w:spacing w:line="360" w:lineRule="auto"/>
        <w:jc w:val="left"/>
        <w:rPr>
          <w:rFonts w:ascii="Times New Roman" w:eastAsia="宋体"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铁路行车组织在线课程</w:t>
      </w:r>
      <w:r>
        <w:rPr>
          <w:rFonts w:ascii="Times New Roman" w:hAnsi="Times New Roman" w:cs="Times New Roman"/>
          <w:sz w:val="24"/>
          <w:szCs w:val="24"/>
        </w:rPr>
        <w:t>https://www.icourse163.org/course/SWJTU-1206451818</w:t>
      </w:r>
    </w:p>
    <w:p w14:paraId="7B21ABCB" w14:textId="77777777" w:rsidR="00050759" w:rsidRDefault="0064082D">
      <w:pPr>
        <w:adjustRightInd w:val="0"/>
        <w:snapToGrid w:val="0"/>
        <w:spacing w:line="360" w:lineRule="auto"/>
        <w:jc w:val="left"/>
        <w:rPr>
          <w:rStyle w:val="aa"/>
          <w:rFonts w:ascii="Times New Roman" w:eastAsia="宋体"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高速铁路概论国家线上金课</w:t>
      </w:r>
      <w:r>
        <w:rPr>
          <w:rFonts w:ascii="Times New Roman" w:hAnsi="Times New Roman" w:cs="Times New Roman"/>
          <w:sz w:val="24"/>
          <w:szCs w:val="24"/>
        </w:rPr>
        <w:t>https:/</w:t>
      </w:r>
      <w:r>
        <w:rPr>
          <w:rFonts w:ascii="Times New Roman" w:hAnsi="Times New Roman" w:cs="Times New Roman"/>
          <w:sz w:val="24"/>
          <w:szCs w:val="24"/>
        </w:rPr>
        <w:t>/www.icourse163.org/course/SWJTU-169003</w:t>
      </w:r>
    </w:p>
    <w:p w14:paraId="55C895AA" w14:textId="77777777" w:rsidR="00050759" w:rsidRDefault="0064082D">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高速铁路运输组织国家线上金课</w:t>
      </w:r>
      <w:r>
        <w:rPr>
          <w:rFonts w:ascii="Times New Roman" w:eastAsia="宋体" w:hAnsi="Times New Roman" w:cs="Times New Roman"/>
          <w:sz w:val="24"/>
          <w:szCs w:val="24"/>
        </w:rPr>
        <w:t>https://www.icourse163.org/course/SWJTU-168005</w:t>
      </w:r>
    </w:p>
    <w:p w14:paraId="0B228289" w14:textId="77777777" w:rsidR="00050759" w:rsidRDefault="0064082D">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[7] Introduction of High-Speed Railway</w:t>
      </w:r>
      <w:r>
        <w:rPr>
          <w:rFonts w:ascii="Times New Roman" w:hAnsi="Times New Roman" w:cs="Times New Roman"/>
          <w:sz w:val="24"/>
          <w:szCs w:val="24"/>
        </w:rPr>
        <w:t>（慕课国际平台）</w:t>
      </w:r>
    </w:p>
    <w:p w14:paraId="45F68B33" w14:textId="77777777" w:rsidR="00050759" w:rsidRDefault="0064082D">
      <w:pPr>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https://www.icourse163.org/course/SWJTU1-1457989169?tid=1458502452</w:t>
      </w:r>
    </w:p>
    <w:p w14:paraId="1E46FDAB" w14:textId="77777777" w:rsidR="00050759" w:rsidRDefault="0064082D">
      <w:pPr>
        <w:adjustRightInd w:val="0"/>
        <w:snapToGrid w:val="0"/>
        <w:spacing w:line="360" w:lineRule="auto"/>
        <w:rPr>
          <w:rFonts w:ascii="Times New Roman" w:hAnsi="Times New Roman" w:cs="Times New Roman"/>
          <w:sz w:val="24"/>
          <w:szCs w:val="24"/>
        </w:rPr>
      </w:pPr>
      <w:r>
        <w:rPr>
          <w:rFonts w:ascii="Times New Roman" w:eastAsia="宋体" w:hAnsi="Times New Roman" w:cs="Times New Roman"/>
          <w:sz w:val="24"/>
          <w:szCs w:val="24"/>
        </w:rPr>
        <w:t xml:space="preserve">    </w:t>
      </w:r>
      <w:r>
        <w:rPr>
          <w:rFonts w:ascii="Times New Roman" w:hAnsi="Times New Roman" w:cs="Times New Roman"/>
          <w:sz w:val="24"/>
          <w:szCs w:val="24"/>
        </w:rPr>
        <w:t xml:space="preserve">2. </w:t>
      </w:r>
      <w:r>
        <w:rPr>
          <w:rFonts w:ascii="Times New Roman" w:hAnsi="Times New Roman" w:cs="Times New Roman"/>
          <w:sz w:val="24"/>
          <w:szCs w:val="24"/>
        </w:rPr>
        <w:t>课程任课教师应</w:t>
      </w:r>
      <w:r>
        <w:rPr>
          <w:rFonts w:ascii="Times New Roman" w:hAnsi="Times New Roman" w:cs="Times New Roman" w:hint="eastAsia"/>
          <w:sz w:val="24"/>
          <w:szCs w:val="24"/>
        </w:rPr>
        <w:t>根据教学发展及时更新课内外教学资源，</w:t>
      </w:r>
      <w:r>
        <w:rPr>
          <w:rFonts w:ascii="Times New Roman" w:hAnsi="Times New Roman" w:cs="Times New Roman"/>
          <w:sz w:val="24"/>
          <w:szCs w:val="24"/>
        </w:rPr>
        <w:t>课外学习资源包括但不局限于行业发展、科技前沿、团队最新研究成果详解等，并在学生完成相应资源的学习后，进行脉络式讲解，帮助学生更好的理解和搭建专业知识体系。</w:t>
      </w:r>
    </w:p>
    <w:p w14:paraId="247E504E"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充分利用</w:t>
      </w:r>
      <w:r>
        <w:rPr>
          <w:rFonts w:ascii="Times New Roman" w:hAnsi="Times New Roman" w:cs="Times New Roman"/>
          <w:sz w:val="24"/>
          <w:szCs w:val="24"/>
        </w:rPr>
        <w:t>SPOC</w:t>
      </w:r>
      <w:r>
        <w:rPr>
          <w:rFonts w:ascii="Times New Roman" w:hAnsi="Times New Roman" w:cs="Times New Roman"/>
          <w:sz w:val="24"/>
          <w:szCs w:val="24"/>
        </w:rPr>
        <w:t>教学平台、</w:t>
      </w:r>
      <w:r>
        <w:rPr>
          <w:rFonts w:ascii="Times New Roman" w:hAnsi="Times New Roman" w:cs="Times New Roman"/>
          <w:sz w:val="24"/>
          <w:szCs w:val="24"/>
        </w:rPr>
        <w:t>QQ</w:t>
      </w:r>
      <w:r>
        <w:rPr>
          <w:rFonts w:ascii="Times New Roman" w:hAnsi="Times New Roman" w:cs="Times New Roman"/>
          <w:sz w:val="24"/>
          <w:szCs w:val="24"/>
        </w:rPr>
        <w:t>群、腾讯会议等搭建同学间互帮互促的课程交流平台，为学生及时解惑。对于学习困难的学生，应注意在课堂上关注其学习效果以及在课后及时了解学习进展，可考虑采用课堂随机分组的方式调动其课堂的参与度和学习的积极性，或进行一对一的答疑及时解决学生存在的知识疑惑。</w:t>
      </w:r>
    </w:p>
    <w:p w14:paraId="1CDB893E" w14:textId="77777777" w:rsidR="00050759" w:rsidRDefault="0064082D">
      <w:pPr>
        <w:pStyle w:val="1"/>
        <w:spacing w:beforeLines="50" w:before="159"/>
        <w:rPr>
          <w:rFonts w:ascii="Times New Roman" w:hAnsi="Times New Roman" w:cs="Times New Roman"/>
          <w:szCs w:val="24"/>
        </w:rPr>
      </w:pPr>
      <w:r>
        <w:rPr>
          <w:rFonts w:ascii="Times New Roman" w:hAnsi="Times New Roman" w:cs="Times New Roman" w:hint="eastAsia"/>
          <w:szCs w:val="24"/>
        </w:rPr>
        <w:t>八、</w:t>
      </w:r>
      <w:r>
        <w:rPr>
          <w:rFonts w:ascii="Times New Roman" w:hAnsi="Times New Roman" w:cs="Times New Roman"/>
          <w:szCs w:val="24"/>
        </w:rPr>
        <w:t>课程教学规定</w:t>
      </w:r>
    </w:p>
    <w:p w14:paraId="2D2CDF40"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sz w:val="24"/>
          <w:szCs w:val="24"/>
        </w:rPr>
        <w:t xml:space="preserve">. </w:t>
      </w:r>
      <w:r>
        <w:rPr>
          <w:rFonts w:ascii="Times New Roman" w:hAnsi="Times New Roman" w:cs="Times New Roman"/>
          <w:sz w:val="24"/>
          <w:szCs w:val="24"/>
        </w:rPr>
        <w:t>课程执行大纲发布</w:t>
      </w:r>
    </w:p>
    <w:p w14:paraId="2D7D57EB"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课程团队统一研讨拟定执行大纲</w:t>
      </w:r>
      <w:r>
        <w:rPr>
          <w:rFonts w:ascii="Times New Roman" w:hAnsi="Times New Roman" w:cs="Times New Roman"/>
          <w:sz w:val="24"/>
          <w:szCs w:val="24"/>
        </w:rPr>
        <w:t>，确保任课教师了解和理解执行大纲并能够遵照执行。</w:t>
      </w:r>
    </w:p>
    <w:p w14:paraId="3CA298A8"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教学大纲的编写、提交、审核、管理、发布等相关环节，严格参照《西南交通大学本科课程执行大纲管理办法》（</w:t>
      </w:r>
      <w:r>
        <w:rPr>
          <w:rFonts w:ascii="Times New Roman" w:hAnsi="Times New Roman" w:cs="Times New Roman"/>
          <w:sz w:val="24"/>
          <w:szCs w:val="24"/>
        </w:rPr>
        <w:t>XJZB-4302</w:t>
      </w:r>
      <w:r>
        <w:rPr>
          <w:rFonts w:ascii="Times New Roman" w:hAnsi="Times New Roman" w:cs="Times New Roman"/>
          <w:sz w:val="24"/>
          <w:szCs w:val="24"/>
        </w:rPr>
        <w:t>）执行。</w:t>
      </w:r>
    </w:p>
    <w:p w14:paraId="44C7270B"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执行大纲应在授课学期第一</w:t>
      </w:r>
      <w:r>
        <w:rPr>
          <w:rFonts w:ascii="Times New Roman" w:hAnsi="Times New Roman" w:cs="Times New Roman" w:hint="eastAsia"/>
          <w:sz w:val="24"/>
          <w:szCs w:val="24"/>
        </w:rPr>
        <w:t>讲</w:t>
      </w:r>
      <w:r>
        <w:rPr>
          <w:rFonts w:ascii="Times New Roman" w:hAnsi="Times New Roman" w:cs="Times New Roman"/>
          <w:sz w:val="24"/>
          <w:szCs w:val="24"/>
        </w:rPr>
        <w:t>课前公开发布在网站上，并在第一</w:t>
      </w:r>
      <w:r>
        <w:rPr>
          <w:rFonts w:ascii="Times New Roman" w:hAnsi="Times New Roman" w:cs="Times New Roman" w:hint="eastAsia"/>
          <w:sz w:val="24"/>
          <w:szCs w:val="24"/>
        </w:rPr>
        <w:t>讲</w:t>
      </w:r>
      <w:r>
        <w:rPr>
          <w:rFonts w:ascii="Times New Roman" w:hAnsi="Times New Roman" w:cs="Times New Roman"/>
          <w:sz w:val="24"/>
          <w:szCs w:val="24"/>
        </w:rPr>
        <w:t>课上为学生提供解读。</w:t>
      </w:r>
    </w:p>
    <w:p w14:paraId="2731ABD0"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 xml:space="preserve"> </w:t>
      </w:r>
      <w:r>
        <w:rPr>
          <w:rFonts w:ascii="Times New Roman" w:hAnsi="Times New Roman" w:cs="Times New Roman"/>
          <w:sz w:val="24"/>
          <w:szCs w:val="24"/>
        </w:rPr>
        <w:t>教学要求</w:t>
      </w:r>
    </w:p>
    <w:p w14:paraId="379903BC"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sz w:val="24"/>
          <w:szCs w:val="24"/>
        </w:rPr>
        <w:t xml:space="preserve">1) </w:t>
      </w:r>
      <w:r>
        <w:rPr>
          <w:rFonts w:ascii="Times New Roman" w:hAnsi="Times New Roman" w:cs="Times New Roman"/>
          <w:sz w:val="24"/>
          <w:szCs w:val="24"/>
        </w:rPr>
        <w:t>全年级所有教学班应统一课程教学大纲、教材、重难点、作业量及比例。</w:t>
      </w:r>
    </w:p>
    <w:p w14:paraId="04310D7B"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sz w:val="24"/>
          <w:szCs w:val="24"/>
        </w:rPr>
        <w:t xml:space="preserve">2) </w:t>
      </w:r>
      <w:r>
        <w:rPr>
          <w:rFonts w:ascii="Times New Roman" w:hAnsi="Times New Roman" w:cs="Times New Roman"/>
          <w:sz w:val="24"/>
          <w:szCs w:val="24"/>
        </w:rPr>
        <w:t>全年级所有教学班应统一教学进度与考核，以便实施小班教学与大班讲座相结合的教学安排。</w:t>
      </w:r>
    </w:p>
    <w:p w14:paraId="68DED46A"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sz w:val="24"/>
          <w:szCs w:val="24"/>
        </w:rPr>
        <w:t xml:space="preserve">3) </w:t>
      </w:r>
      <w:r>
        <w:rPr>
          <w:rFonts w:ascii="Times New Roman" w:hAnsi="Times New Roman" w:cs="Times New Roman"/>
          <w:sz w:val="24"/>
          <w:szCs w:val="24"/>
        </w:rPr>
        <w:t>为学生提供丰富的教学资源，保证学生课内外学习时间的比例在</w:t>
      </w:r>
      <w:r>
        <w:rPr>
          <w:rFonts w:ascii="Times New Roman" w:hAnsi="Times New Roman" w:cs="Times New Roman"/>
          <w:sz w:val="24"/>
          <w:szCs w:val="24"/>
        </w:rPr>
        <w:t>1:2</w:t>
      </w:r>
      <w:r>
        <w:rPr>
          <w:rFonts w:ascii="Times New Roman" w:hAnsi="Times New Roman" w:cs="Times New Roman"/>
          <w:sz w:val="24"/>
          <w:szCs w:val="24"/>
        </w:rPr>
        <w:t>到</w:t>
      </w:r>
      <w:r>
        <w:rPr>
          <w:rFonts w:ascii="Times New Roman" w:hAnsi="Times New Roman" w:cs="Times New Roman"/>
          <w:sz w:val="24"/>
          <w:szCs w:val="24"/>
        </w:rPr>
        <w:t>1:3</w:t>
      </w:r>
      <w:r>
        <w:rPr>
          <w:rFonts w:ascii="Times New Roman" w:hAnsi="Times New Roman" w:cs="Times New Roman"/>
          <w:sz w:val="24"/>
          <w:szCs w:val="24"/>
        </w:rPr>
        <w:t>之间。</w:t>
      </w:r>
    </w:p>
    <w:p w14:paraId="4787D135"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sz w:val="24"/>
          <w:szCs w:val="24"/>
        </w:rPr>
        <w:t xml:space="preserve">4) </w:t>
      </w:r>
      <w:r>
        <w:rPr>
          <w:rFonts w:ascii="Times New Roman" w:hAnsi="Times New Roman" w:cs="Times New Roman"/>
          <w:sz w:val="24"/>
          <w:szCs w:val="24"/>
        </w:rPr>
        <w:t>藏大班以及申请特殊试点教学的卓越班（茅班和詹班），可根据学情及试点情况适当调整。</w:t>
      </w:r>
    </w:p>
    <w:p w14:paraId="4071AAE8"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sz w:val="24"/>
          <w:szCs w:val="24"/>
        </w:rPr>
        <w:t xml:space="preserve"> </w:t>
      </w:r>
      <w:r>
        <w:rPr>
          <w:rFonts w:ascii="Times New Roman" w:hAnsi="Times New Roman" w:cs="Times New Roman"/>
          <w:sz w:val="24"/>
          <w:szCs w:val="24"/>
        </w:rPr>
        <w:t>成绩评定</w:t>
      </w:r>
    </w:p>
    <w:p w14:paraId="63B65926" w14:textId="77777777" w:rsidR="00050759" w:rsidRDefault="0064082D">
      <w:pPr>
        <w:adjustRightInd w:val="0"/>
        <w:snapToGrid w:val="0"/>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课程成绩评定标准参照《西南交通大学本科课程成绩评定指导意见》（</w:t>
      </w:r>
      <w:r>
        <w:rPr>
          <w:rFonts w:ascii="Times New Roman" w:hAnsi="Times New Roman" w:cs="Times New Roman"/>
          <w:sz w:val="24"/>
          <w:szCs w:val="24"/>
        </w:rPr>
        <w:t>XJZB-4102</w:t>
      </w:r>
      <w:r>
        <w:rPr>
          <w:rFonts w:ascii="Times New Roman" w:hAnsi="Times New Roman" w:cs="Times New Roman"/>
          <w:sz w:val="24"/>
          <w:szCs w:val="24"/>
        </w:rPr>
        <w:t>）制定，保证全年级的统一正式考试次数不少于</w:t>
      </w:r>
      <w:r>
        <w:rPr>
          <w:rFonts w:ascii="Times New Roman" w:hAnsi="Times New Roman" w:cs="Times New Roman"/>
          <w:sz w:val="24"/>
          <w:szCs w:val="24"/>
        </w:rPr>
        <w:t>2</w:t>
      </w:r>
      <w:r>
        <w:rPr>
          <w:rFonts w:ascii="Times New Roman" w:hAnsi="Times New Roman" w:cs="Times New Roman"/>
          <w:sz w:val="24"/>
          <w:szCs w:val="24"/>
        </w:rPr>
        <w:t>次。所有教学班的期中和期末考试，由课程团队统一标准、统一出题、统一阅卷，以保证考核的科学性与公平性。藏大班以及申请特殊试点教学的卓越班（茅班和詹班），可根据学情及试点情况适当调整。</w:t>
      </w:r>
    </w:p>
    <w:p w14:paraId="658702F5" w14:textId="77777777" w:rsidR="00050759" w:rsidRDefault="00050759">
      <w:pPr>
        <w:adjustRightInd w:val="0"/>
        <w:snapToGrid w:val="0"/>
        <w:spacing w:line="360" w:lineRule="auto"/>
        <w:ind w:firstLine="560"/>
        <w:rPr>
          <w:rFonts w:ascii="Times New Roman" w:hAnsi="Times New Roman" w:cs="Times New Roman"/>
          <w:sz w:val="24"/>
          <w:szCs w:val="24"/>
        </w:rPr>
      </w:pPr>
    </w:p>
    <w:p w14:paraId="07897063" w14:textId="77777777" w:rsidR="00050759" w:rsidRDefault="00050759">
      <w:pPr>
        <w:adjustRightInd w:val="0"/>
        <w:snapToGrid w:val="0"/>
        <w:spacing w:line="360" w:lineRule="auto"/>
        <w:ind w:firstLine="560"/>
        <w:rPr>
          <w:rFonts w:ascii="Times New Roman" w:hAnsi="Times New Roman" w:cs="Times New Roman"/>
          <w:sz w:val="24"/>
          <w:szCs w:val="24"/>
        </w:rPr>
      </w:pPr>
    </w:p>
    <w:p w14:paraId="3EA93159" w14:textId="77777777" w:rsidR="00050759" w:rsidRDefault="00050759">
      <w:pPr>
        <w:adjustRightInd w:val="0"/>
        <w:snapToGrid w:val="0"/>
        <w:spacing w:line="360" w:lineRule="auto"/>
        <w:ind w:firstLine="561"/>
        <w:jc w:val="right"/>
        <w:rPr>
          <w:rFonts w:ascii="Times New Roman" w:hAnsi="Times New Roman" w:cs="Times New Roman"/>
          <w:sz w:val="24"/>
          <w:szCs w:val="24"/>
        </w:rPr>
      </w:pPr>
    </w:p>
    <w:sectPr w:rsidR="00050759">
      <w:pgSz w:w="11906" w:h="16838"/>
      <w:pgMar w:top="1440" w:right="1797" w:bottom="1440" w:left="1797" w:header="851" w:footer="992" w:gutter="0"/>
      <w:cols w:space="0"/>
      <w:docGrid w:type="linesAndChar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1"/>
    <w:family w:val="swiss"/>
    <w:pitch w:val="default"/>
    <w:sig w:usb0="E0002EFF" w:usb1="C000785B" w:usb2="00000009" w:usb3="00000000" w:csb0="400001FF" w:csb1="FFFF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auto"/>
    <w:pitch w:val="default"/>
    <w:sig w:usb0="800002BF" w:usb1="38CF7CFA" w:usb2="00000016" w:usb3="00000000" w:csb0="00040001" w:csb1="00000000"/>
  </w:font>
  <w:font w:name="STFangsong">
    <w:altName w:val="华文仿宋"/>
    <w:panose1 w:val="02010600040101010101"/>
    <w:charset w:val="86"/>
    <w:family w:val="auto"/>
    <w:pitch w:val="variable"/>
    <w:sig w:usb0="00000287" w:usb1="080F0000" w:usb2="00000010" w:usb3="00000000" w:csb0="0004009F" w:csb1="00000000"/>
  </w:font>
  <w:font w:name="Wingdings 2">
    <w:panose1 w:val="05020102010507070707"/>
    <w:charset w:val="00"/>
    <w:family w:val="decorative"/>
    <w:pitch w:val="variable"/>
    <w:sig w:usb0="00000003" w:usb1="1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804358A"/>
    <w:multiLevelType w:val="singleLevel"/>
    <w:tmpl w:val="8804358A"/>
    <w:lvl w:ilvl="0">
      <w:start w:val="2"/>
      <w:numFmt w:val="decimal"/>
      <w:suff w:val="space"/>
      <w:lvlText w:val="%1."/>
      <w:lvlJc w:val="left"/>
    </w:lvl>
  </w:abstractNum>
  <w:abstractNum w:abstractNumId="1" w15:restartNumberingAfterBreak="0">
    <w:nsid w:val="6D978AE6"/>
    <w:multiLevelType w:val="singleLevel"/>
    <w:tmpl w:val="6D978AE6"/>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defaultTabStop w:val="420"/>
  <w:drawingGridVerticalSpacing w:val="159"/>
  <w:noPunctuationKerning/>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Q2MjkwNWE2MTI1NDdlMzc0NTVlZWI2NWIyNmRhZjcifQ=="/>
  </w:docVars>
  <w:rsids>
    <w:rsidRoot w:val="008F7576"/>
    <w:rsid w:val="00005374"/>
    <w:rsid w:val="00010443"/>
    <w:rsid w:val="000132D6"/>
    <w:rsid w:val="0002627F"/>
    <w:rsid w:val="00050759"/>
    <w:rsid w:val="00050B99"/>
    <w:rsid w:val="00072B98"/>
    <w:rsid w:val="00084FBB"/>
    <w:rsid w:val="000A1C8D"/>
    <w:rsid w:val="000D4F68"/>
    <w:rsid w:val="00122D07"/>
    <w:rsid w:val="001766E1"/>
    <w:rsid w:val="00177D8F"/>
    <w:rsid w:val="001B10E5"/>
    <w:rsid w:val="001B7D47"/>
    <w:rsid w:val="001F3797"/>
    <w:rsid w:val="00201A3D"/>
    <w:rsid w:val="00202D0D"/>
    <w:rsid w:val="00213102"/>
    <w:rsid w:val="00246A7B"/>
    <w:rsid w:val="00271C50"/>
    <w:rsid w:val="002779C7"/>
    <w:rsid w:val="00284773"/>
    <w:rsid w:val="002B7D5E"/>
    <w:rsid w:val="002C69ED"/>
    <w:rsid w:val="002C6BDE"/>
    <w:rsid w:val="002D05E2"/>
    <w:rsid w:val="002D06BA"/>
    <w:rsid w:val="002D0BF6"/>
    <w:rsid w:val="002E1B6F"/>
    <w:rsid w:val="00303865"/>
    <w:rsid w:val="00304C0E"/>
    <w:rsid w:val="00322F9D"/>
    <w:rsid w:val="00325B6F"/>
    <w:rsid w:val="00347018"/>
    <w:rsid w:val="00365DC9"/>
    <w:rsid w:val="0037695E"/>
    <w:rsid w:val="003A119F"/>
    <w:rsid w:val="003A3342"/>
    <w:rsid w:val="003C1B1F"/>
    <w:rsid w:val="003C26EF"/>
    <w:rsid w:val="003D699F"/>
    <w:rsid w:val="003E3649"/>
    <w:rsid w:val="00443FB0"/>
    <w:rsid w:val="00453191"/>
    <w:rsid w:val="00456CEF"/>
    <w:rsid w:val="0046392D"/>
    <w:rsid w:val="0046476A"/>
    <w:rsid w:val="00465B21"/>
    <w:rsid w:val="004A3F11"/>
    <w:rsid w:val="004B02DF"/>
    <w:rsid w:val="004B778A"/>
    <w:rsid w:val="004C3708"/>
    <w:rsid w:val="00500F7A"/>
    <w:rsid w:val="00501159"/>
    <w:rsid w:val="00504643"/>
    <w:rsid w:val="00525024"/>
    <w:rsid w:val="005A3C51"/>
    <w:rsid w:val="006103D3"/>
    <w:rsid w:val="0061417D"/>
    <w:rsid w:val="006253A0"/>
    <w:rsid w:val="00637BEA"/>
    <w:rsid w:val="0064082D"/>
    <w:rsid w:val="006419AE"/>
    <w:rsid w:val="00643D90"/>
    <w:rsid w:val="00652099"/>
    <w:rsid w:val="00654500"/>
    <w:rsid w:val="006724DC"/>
    <w:rsid w:val="006811CD"/>
    <w:rsid w:val="006D6BC9"/>
    <w:rsid w:val="00702F78"/>
    <w:rsid w:val="00771F31"/>
    <w:rsid w:val="00772403"/>
    <w:rsid w:val="007749C0"/>
    <w:rsid w:val="007A5ED5"/>
    <w:rsid w:val="007D07E0"/>
    <w:rsid w:val="007E0F96"/>
    <w:rsid w:val="008056A1"/>
    <w:rsid w:val="008267EC"/>
    <w:rsid w:val="008875EC"/>
    <w:rsid w:val="008B4415"/>
    <w:rsid w:val="008E0098"/>
    <w:rsid w:val="008F7576"/>
    <w:rsid w:val="0092793D"/>
    <w:rsid w:val="0099084A"/>
    <w:rsid w:val="009B544F"/>
    <w:rsid w:val="009B6D9F"/>
    <w:rsid w:val="009C5F02"/>
    <w:rsid w:val="009D0FA1"/>
    <w:rsid w:val="009F08A2"/>
    <w:rsid w:val="00A1008D"/>
    <w:rsid w:val="00A10F24"/>
    <w:rsid w:val="00A3025D"/>
    <w:rsid w:val="00A302C7"/>
    <w:rsid w:val="00A542D2"/>
    <w:rsid w:val="00A61506"/>
    <w:rsid w:val="00A665E5"/>
    <w:rsid w:val="00AC1F81"/>
    <w:rsid w:val="00AD07CF"/>
    <w:rsid w:val="00AE356D"/>
    <w:rsid w:val="00AE38EA"/>
    <w:rsid w:val="00AE39E1"/>
    <w:rsid w:val="00B01A4E"/>
    <w:rsid w:val="00B04600"/>
    <w:rsid w:val="00B23555"/>
    <w:rsid w:val="00B61B38"/>
    <w:rsid w:val="00B85087"/>
    <w:rsid w:val="00B94AB6"/>
    <w:rsid w:val="00B96A55"/>
    <w:rsid w:val="00BA096A"/>
    <w:rsid w:val="00BA626F"/>
    <w:rsid w:val="00BA7530"/>
    <w:rsid w:val="00BD5B13"/>
    <w:rsid w:val="00BE05F3"/>
    <w:rsid w:val="00BE2E7A"/>
    <w:rsid w:val="00BE40F5"/>
    <w:rsid w:val="00BE51B1"/>
    <w:rsid w:val="00C005D9"/>
    <w:rsid w:val="00C0213B"/>
    <w:rsid w:val="00C061D6"/>
    <w:rsid w:val="00C50B76"/>
    <w:rsid w:val="00CA54BB"/>
    <w:rsid w:val="00CB61F7"/>
    <w:rsid w:val="00CC1D99"/>
    <w:rsid w:val="00CE2688"/>
    <w:rsid w:val="00CF6E12"/>
    <w:rsid w:val="00D51A46"/>
    <w:rsid w:val="00D746AD"/>
    <w:rsid w:val="00D86069"/>
    <w:rsid w:val="00D947F3"/>
    <w:rsid w:val="00DB69A2"/>
    <w:rsid w:val="00DC4DC3"/>
    <w:rsid w:val="00DF5A6A"/>
    <w:rsid w:val="00E27998"/>
    <w:rsid w:val="00E70299"/>
    <w:rsid w:val="00E77D51"/>
    <w:rsid w:val="00E87C90"/>
    <w:rsid w:val="00ED473A"/>
    <w:rsid w:val="00F476E5"/>
    <w:rsid w:val="00F51D62"/>
    <w:rsid w:val="00FB2639"/>
    <w:rsid w:val="00FD4815"/>
    <w:rsid w:val="00FD6928"/>
    <w:rsid w:val="00FF41E0"/>
    <w:rsid w:val="01F65C71"/>
    <w:rsid w:val="03233EDE"/>
    <w:rsid w:val="049766CC"/>
    <w:rsid w:val="069C2BCE"/>
    <w:rsid w:val="094D2DB1"/>
    <w:rsid w:val="0A5B0034"/>
    <w:rsid w:val="0C7E3F59"/>
    <w:rsid w:val="0D5D31C1"/>
    <w:rsid w:val="0E5653CC"/>
    <w:rsid w:val="108A5D00"/>
    <w:rsid w:val="110954BB"/>
    <w:rsid w:val="116D2E9F"/>
    <w:rsid w:val="134E1EAC"/>
    <w:rsid w:val="1363080D"/>
    <w:rsid w:val="16D94DDD"/>
    <w:rsid w:val="174A4965"/>
    <w:rsid w:val="18AE3D00"/>
    <w:rsid w:val="1AC554CD"/>
    <w:rsid w:val="1BF452E0"/>
    <w:rsid w:val="1F18629E"/>
    <w:rsid w:val="1F8237CF"/>
    <w:rsid w:val="1FD22938"/>
    <w:rsid w:val="23FE1ABA"/>
    <w:rsid w:val="287D53F1"/>
    <w:rsid w:val="2C83271D"/>
    <w:rsid w:val="2F743F3D"/>
    <w:rsid w:val="301336FF"/>
    <w:rsid w:val="30296816"/>
    <w:rsid w:val="313C3715"/>
    <w:rsid w:val="31F747DA"/>
    <w:rsid w:val="377E14C5"/>
    <w:rsid w:val="38651CBC"/>
    <w:rsid w:val="3865564A"/>
    <w:rsid w:val="3A4E6BDE"/>
    <w:rsid w:val="3C4E5586"/>
    <w:rsid w:val="3DD34115"/>
    <w:rsid w:val="412D698D"/>
    <w:rsid w:val="42EB2CDD"/>
    <w:rsid w:val="466931E2"/>
    <w:rsid w:val="47454504"/>
    <w:rsid w:val="47BE2CDB"/>
    <w:rsid w:val="4D0030A3"/>
    <w:rsid w:val="4D0F7EF7"/>
    <w:rsid w:val="4D7A1C63"/>
    <w:rsid w:val="4E314C08"/>
    <w:rsid w:val="5241432B"/>
    <w:rsid w:val="525E3B20"/>
    <w:rsid w:val="528F5A60"/>
    <w:rsid w:val="52C261DC"/>
    <w:rsid w:val="53535A13"/>
    <w:rsid w:val="53B92834"/>
    <w:rsid w:val="556A306E"/>
    <w:rsid w:val="572B37D7"/>
    <w:rsid w:val="59747CB9"/>
    <w:rsid w:val="5BDF2BC5"/>
    <w:rsid w:val="5D7927EF"/>
    <w:rsid w:val="5DE2470E"/>
    <w:rsid w:val="5E2832F5"/>
    <w:rsid w:val="62F001DE"/>
    <w:rsid w:val="64ED2011"/>
    <w:rsid w:val="65B63165"/>
    <w:rsid w:val="67851F30"/>
    <w:rsid w:val="684056E2"/>
    <w:rsid w:val="6DE87EAD"/>
    <w:rsid w:val="6FE426B7"/>
    <w:rsid w:val="714B3FB3"/>
    <w:rsid w:val="73C6500C"/>
    <w:rsid w:val="74844FEA"/>
    <w:rsid w:val="75195A70"/>
    <w:rsid w:val="7526311F"/>
    <w:rsid w:val="77EC5E9C"/>
    <w:rsid w:val="787376CD"/>
    <w:rsid w:val="7AD81645"/>
    <w:rsid w:val="7BFC57D9"/>
    <w:rsid w:val="7F362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160AEFA"/>
  <w15:docId w15:val="{BA497ABA-A49F-9C4D-9685-B488CDC6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spacing w:line="360" w:lineRule="auto"/>
      <w:outlineLvl w:val="0"/>
    </w:pPr>
    <w:rPr>
      <w:b/>
      <w:kern w:val="44"/>
      <w:sz w:val="24"/>
      <w:szCs w:val="21"/>
    </w:rPr>
  </w:style>
  <w:style w:type="paragraph" w:styleId="2">
    <w:name w:val="heading 2"/>
    <w:basedOn w:val="a"/>
    <w:next w:val="a"/>
    <w:unhideWhenUsed/>
    <w:qFormat/>
    <w:pPr>
      <w:keepNext/>
      <w:keepLines/>
      <w:outlineLvl w:val="1"/>
    </w:pPr>
    <w:rPr>
      <w:rFonts w:ascii="Arial" w:eastAsia="宋体" w:hAnsi="Arial"/>
      <w:b/>
      <w:sz w:val="28"/>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qFormat/>
    <w:rPr>
      <w:color w:val="0563C1"/>
      <w:u w:val="single"/>
    </w:rPr>
  </w:style>
  <w:style w:type="paragraph" w:customStyle="1" w:styleId="10">
    <w:name w:val="列表段落1"/>
    <w:basedOn w:val="a"/>
    <w:qFormat/>
    <w:pPr>
      <w:ind w:firstLineChars="200" w:firstLine="420"/>
    </w:pPr>
    <w:rPr>
      <w:rFonts w:eastAsia="宋体"/>
      <w:szCs w:val="21"/>
    </w:rPr>
  </w:style>
  <w:style w:type="paragraph" w:styleId="ab">
    <w:name w:val="List Paragraph"/>
    <w:basedOn w:val="a"/>
    <w:uiPriority w:val="99"/>
    <w:qFormat/>
    <w:pPr>
      <w:ind w:firstLineChars="200" w:firstLine="420"/>
    </w:pPr>
  </w:style>
  <w:style w:type="character" w:customStyle="1" w:styleId="30">
    <w:name w:val="标题 3 字符"/>
    <w:basedOn w:val="a0"/>
    <w:link w:val="3"/>
    <w:qFormat/>
    <w:rPr>
      <w:rFonts w:asciiTheme="minorHAnsi" w:eastAsiaTheme="minorEastAsia" w:hAnsiTheme="minorHAnsi" w:cstheme="minorBidi"/>
      <w:b/>
      <w:bCs/>
      <w:kern w:val="2"/>
      <w:sz w:val="32"/>
      <w:szCs w:val="32"/>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9CD50-02D9-4DEF-97EA-21A6C349C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15</Pages>
  <Words>2192</Words>
  <Characters>12495</Characters>
  <Application>Microsoft Office Word</Application>
  <DocSecurity>0</DocSecurity>
  <Lines>104</Lines>
  <Paragraphs>29</Paragraphs>
  <ScaleCrop>false</ScaleCrop>
  <Company/>
  <LinksUpToDate>false</LinksUpToDate>
  <CharactersWithSpaces>14658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speciallili</dc:creator>
  <cp:lastModifiedBy>Lei Li</cp:lastModifiedBy>
  <cp:revision>44</cp:revision>
  <dcterms:created xsi:type="dcterms:W3CDTF">2023-01-10T09:35:00Z</dcterms:created>
  <dcterms:modified xsi:type="dcterms:W3CDTF">2023-03-28T08:11:00Z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83FAC3A3B4E5429581CAB823041259F1</vt:lpwstr>
  </property>
</Properties>
</file>