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015C" w:rsidRDefault="00F2015C" w:rsidP="00F2015C">
      <w:pPr>
        <w:jc w:val="center"/>
        <w:rPr>
          <w:rFonts w:eastAsia="方正小标宋_GBK"/>
          <w:bCs/>
          <w:sz w:val="30"/>
          <w:szCs w:val="30"/>
        </w:rPr>
      </w:pPr>
      <w:r>
        <w:rPr>
          <w:rFonts w:eastAsia="方正小标宋_GBK" w:hint="eastAsia"/>
          <w:sz w:val="30"/>
          <w:szCs w:val="30"/>
        </w:rPr>
        <w:t>应用基础研究项目申报指南</w:t>
      </w:r>
    </w:p>
    <w:p w:rsidR="00F2015C" w:rsidRDefault="00F2015C" w:rsidP="00F2015C">
      <w:pPr>
        <w:jc w:val="center"/>
        <w:rPr>
          <w:rFonts w:eastAsia="楷体_GB2312"/>
          <w:sz w:val="30"/>
          <w:szCs w:val="30"/>
        </w:rPr>
      </w:pPr>
      <w:r>
        <w:rPr>
          <w:rFonts w:eastAsia="楷体_GB2312" w:hint="eastAsia"/>
          <w:sz w:val="30"/>
          <w:szCs w:val="30"/>
        </w:rPr>
        <w:t>（该指南在线填写</w:t>
      </w:r>
      <w:r>
        <w:rPr>
          <w:rFonts w:eastAsia="楷体_GB2312"/>
          <w:sz w:val="30"/>
          <w:szCs w:val="30"/>
        </w:rPr>
        <w:t>“</w:t>
      </w:r>
      <w:r>
        <w:rPr>
          <w:rFonts w:eastAsia="楷体_GB2312" w:hint="eastAsia"/>
          <w:sz w:val="30"/>
          <w:szCs w:val="30"/>
        </w:rPr>
        <w:t>四川省应用基础研究项目申报书</w:t>
      </w:r>
      <w:r>
        <w:rPr>
          <w:rFonts w:eastAsia="楷体_GB2312"/>
          <w:sz w:val="30"/>
          <w:szCs w:val="30"/>
        </w:rPr>
        <w:t>”</w:t>
      </w:r>
      <w:r>
        <w:rPr>
          <w:rFonts w:eastAsia="楷体_GB2312" w:hint="eastAsia"/>
          <w:sz w:val="30"/>
          <w:szCs w:val="30"/>
        </w:rPr>
        <w:t>）</w:t>
      </w:r>
    </w:p>
    <w:p w:rsidR="00F2015C" w:rsidRDefault="00F2015C" w:rsidP="00F2015C">
      <w:pPr>
        <w:adjustRightInd w:val="0"/>
        <w:snapToGrid w:val="0"/>
        <w:ind w:firstLineChars="200" w:firstLine="420"/>
        <w:rPr>
          <w:kern w:val="0"/>
          <w:sz w:val="21"/>
          <w:szCs w:val="21"/>
        </w:rPr>
      </w:pPr>
    </w:p>
    <w:p w:rsidR="00F2015C" w:rsidRDefault="00F2015C" w:rsidP="00F2015C">
      <w:pPr>
        <w:adjustRightInd w:val="0"/>
        <w:snapToGrid w:val="0"/>
        <w:ind w:firstLineChars="200" w:firstLine="420"/>
        <w:rPr>
          <w:kern w:val="0"/>
          <w:sz w:val="21"/>
          <w:szCs w:val="21"/>
        </w:rPr>
      </w:pPr>
      <w:r>
        <w:rPr>
          <w:rFonts w:hint="eastAsia"/>
          <w:kern w:val="0"/>
          <w:sz w:val="21"/>
          <w:szCs w:val="21"/>
        </w:rPr>
        <w:t>为深入贯彻落实省委、省政府重大决策和工作部署，围绕实施四川省</w:t>
      </w:r>
      <w:r>
        <w:rPr>
          <w:kern w:val="0"/>
          <w:sz w:val="21"/>
          <w:szCs w:val="21"/>
        </w:rPr>
        <w:t>“</w:t>
      </w:r>
      <w:r>
        <w:rPr>
          <w:rFonts w:hint="eastAsia"/>
          <w:kern w:val="0"/>
          <w:sz w:val="21"/>
          <w:szCs w:val="21"/>
        </w:rPr>
        <w:t>十三五</w:t>
      </w:r>
      <w:r>
        <w:rPr>
          <w:kern w:val="0"/>
          <w:sz w:val="21"/>
          <w:szCs w:val="21"/>
        </w:rPr>
        <w:t>”</w:t>
      </w:r>
      <w:r>
        <w:rPr>
          <w:rFonts w:hint="eastAsia"/>
          <w:kern w:val="0"/>
          <w:sz w:val="21"/>
          <w:szCs w:val="21"/>
        </w:rPr>
        <w:t>科技创新规划、全面创新改革试验、创新型省份建设，坚持面向世界科技前沿、面向经济主战场、面向国家和我省重大需求，结合我省五大高端成长型产业、五大新兴先导型服务业、七大优势产业、七大战略性新兴产业和四大新兴产业，对接全面创新改革试验</w:t>
      </w:r>
      <w:r>
        <w:rPr>
          <w:kern w:val="0"/>
          <w:sz w:val="21"/>
          <w:szCs w:val="21"/>
        </w:rPr>
        <w:t>“</w:t>
      </w:r>
      <w:r>
        <w:rPr>
          <w:rFonts w:hint="eastAsia"/>
          <w:kern w:val="0"/>
          <w:sz w:val="21"/>
          <w:szCs w:val="21"/>
        </w:rPr>
        <w:t>九张清单</w:t>
      </w:r>
      <w:r>
        <w:rPr>
          <w:kern w:val="0"/>
          <w:sz w:val="21"/>
          <w:szCs w:val="21"/>
        </w:rPr>
        <w:t>”</w:t>
      </w:r>
      <w:r>
        <w:rPr>
          <w:rFonts w:hint="eastAsia"/>
          <w:kern w:val="0"/>
          <w:sz w:val="21"/>
          <w:szCs w:val="21"/>
        </w:rPr>
        <w:t>特别是技术攻关重点领域和方向，聚焦全省经济社会发展战略性、基础性、前瞻性重大科学问题，开展前沿技术、基础及应用基础研究，提供原始性创新成果，增强科技创新支撑引领转型发展的新动力。现将</w:t>
      </w:r>
      <w:r>
        <w:rPr>
          <w:kern w:val="0"/>
          <w:sz w:val="21"/>
          <w:szCs w:val="21"/>
        </w:rPr>
        <w:t>2018</w:t>
      </w:r>
      <w:r>
        <w:rPr>
          <w:rFonts w:hint="eastAsia"/>
          <w:kern w:val="0"/>
          <w:sz w:val="21"/>
          <w:szCs w:val="21"/>
        </w:rPr>
        <w:t>年度四川省应用基础研究项目有关申报事宜通知如下。</w:t>
      </w:r>
    </w:p>
    <w:p w:rsidR="00F2015C" w:rsidRDefault="00F2015C" w:rsidP="00F2015C">
      <w:pPr>
        <w:adjustRightInd w:val="0"/>
        <w:snapToGrid w:val="0"/>
        <w:ind w:firstLineChars="200" w:firstLine="420"/>
        <w:rPr>
          <w:rFonts w:eastAsia="黑体"/>
          <w:kern w:val="0"/>
          <w:sz w:val="21"/>
          <w:szCs w:val="21"/>
        </w:rPr>
      </w:pPr>
      <w:r>
        <w:rPr>
          <w:rFonts w:eastAsia="黑体" w:hint="eastAsia"/>
          <w:kern w:val="0"/>
          <w:sz w:val="21"/>
          <w:szCs w:val="21"/>
        </w:rPr>
        <w:t>一、资金支持方式</w:t>
      </w:r>
    </w:p>
    <w:p w:rsidR="00F2015C" w:rsidRDefault="00F2015C" w:rsidP="00F2015C">
      <w:pPr>
        <w:adjustRightInd w:val="0"/>
        <w:snapToGrid w:val="0"/>
        <w:ind w:firstLineChars="200" w:firstLine="420"/>
        <w:rPr>
          <w:kern w:val="0"/>
          <w:sz w:val="21"/>
          <w:szCs w:val="21"/>
        </w:rPr>
      </w:pPr>
      <w:r>
        <w:rPr>
          <w:rFonts w:hint="eastAsia"/>
          <w:kern w:val="0"/>
          <w:sz w:val="21"/>
          <w:szCs w:val="21"/>
        </w:rPr>
        <w:t>专项资金采取前补助支持方式。</w:t>
      </w:r>
    </w:p>
    <w:p w:rsidR="00F2015C" w:rsidRDefault="00F2015C" w:rsidP="00F2015C">
      <w:pPr>
        <w:adjustRightInd w:val="0"/>
        <w:snapToGrid w:val="0"/>
        <w:ind w:firstLineChars="200" w:firstLine="420"/>
        <w:rPr>
          <w:rFonts w:eastAsia="黑体"/>
          <w:kern w:val="0"/>
          <w:sz w:val="21"/>
          <w:szCs w:val="21"/>
        </w:rPr>
      </w:pPr>
      <w:r>
        <w:rPr>
          <w:rFonts w:eastAsia="黑体" w:hint="eastAsia"/>
          <w:kern w:val="0"/>
          <w:sz w:val="21"/>
          <w:szCs w:val="21"/>
        </w:rPr>
        <w:t>二、支持重点</w:t>
      </w:r>
    </w:p>
    <w:p w:rsidR="00F2015C" w:rsidRDefault="00F2015C" w:rsidP="00F2015C">
      <w:pPr>
        <w:adjustRightInd w:val="0"/>
        <w:snapToGrid w:val="0"/>
        <w:ind w:firstLineChars="200" w:firstLine="420"/>
        <w:rPr>
          <w:kern w:val="0"/>
          <w:sz w:val="21"/>
          <w:szCs w:val="21"/>
        </w:rPr>
      </w:pPr>
      <w:r>
        <w:rPr>
          <w:kern w:val="0"/>
          <w:sz w:val="21"/>
          <w:szCs w:val="21"/>
        </w:rPr>
        <w:t>2018</w:t>
      </w:r>
      <w:r>
        <w:rPr>
          <w:rFonts w:hint="eastAsia"/>
          <w:kern w:val="0"/>
          <w:sz w:val="21"/>
          <w:szCs w:val="21"/>
        </w:rPr>
        <w:t>年度四川省应用基础研究项目分为重大前沿项目、重点项目和面上项目三个类别。重点支持：</w:t>
      </w:r>
    </w:p>
    <w:p w:rsidR="00F2015C" w:rsidRDefault="00F2015C" w:rsidP="00F2015C">
      <w:pPr>
        <w:adjustRightInd w:val="0"/>
        <w:snapToGrid w:val="0"/>
        <w:ind w:firstLineChars="200" w:firstLine="420"/>
        <w:rPr>
          <w:kern w:val="0"/>
          <w:sz w:val="21"/>
          <w:szCs w:val="21"/>
        </w:rPr>
      </w:pPr>
      <w:r>
        <w:rPr>
          <w:rFonts w:eastAsia="楷体_GB2312" w:hint="eastAsia"/>
          <w:kern w:val="0"/>
          <w:sz w:val="21"/>
          <w:szCs w:val="21"/>
        </w:rPr>
        <w:t>（一）重大前沿科学技术研究。</w:t>
      </w:r>
      <w:r>
        <w:rPr>
          <w:rFonts w:hint="eastAsia"/>
          <w:kern w:val="0"/>
          <w:sz w:val="21"/>
          <w:szCs w:val="21"/>
        </w:rPr>
        <w:t>重点支持土壤重金属残留削减、功能基因组学、干细胞及转化、脑科学、国际热核聚变实验堆计划、纳米材料、地质灾害防治、高性能节能材料、航空航天、信息技术、信息安全、人工智能等领域。</w:t>
      </w:r>
    </w:p>
    <w:p w:rsidR="00F2015C" w:rsidRDefault="00F2015C" w:rsidP="00F2015C">
      <w:pPr>
        <w:adjustRightInd w:val="0"/>
        <w:snapToGrid w:val="0"/>
        <w:ind w:firstLineChars="150" w:firstLine="315"/>
        <w:rPr>
          <w:kern w:val="0"/>
          <w:sz w:val="21"/>
          <w:szCs w:val="21"/>
        </w:rPr>
      </w:pPr>
      <w:r>
        <w:rPr>
          <w:rFonts w:eastAsia="楷体_GB2312" w:hint="eastAsia"/>
          <w:kern w:val="0"/>
          <w:sz w:val="21"/>
          <w:szCs w:val="21"/>
        </w:rPr>
        <w:t>（二）支撑我省经济社会发展的应用基础研究。</w:t>
      </w:r>
      <w:r>
        <w:rPr>
          <w:rFonts w:hint="eastAsia"/>
          <w:kern w:val="0"/>
          <w:sz w:val="21"/>
          <w:szCs w:val="21"/>
        </w:rPr>
        <w:t>重点支持：</w:t>
      </w:r>
    </w:p>
    <w:p w:rsidR="00F2015C" w:rsidRDefault="00F2015C" w:rsidP="00F2015C">
      <w:pPr>
        <w:adjustRightInd w:val="0"/>
        <w:snapToGrid w:val="0"/>
        <w:ind w:firstLineChars="200" w:firstLine="420"/>
        <w:rPr>
          <w:kern w:val="0"/>
          <w:sz w:val="21"/>
          <w:szCs w:val="21"/>
        </w:rPr>
      </w:pPr>
      <w:r>
        <w:rPr>
          <w:kern w:val="0"/>
          <w:sz w:val="21"/>
          <w:szCs w:val="21"/>
        </w:rPr>
        <w:t xml:space="preserve">1. </w:t>
      </w:r>
      <w:r>
        <w:rPr>
          <w:rFonts w:hint="eastAsia"/>
          <w:kern w:val="0"/>
          <w:sz w:val="21"/>
          <w:szCs w:val="21"/>
        </w:rPr>
        <w:t>地质灾害防治。重点支持高位潜在崩滑灾害早期判识、复杂艰险山区崩滑灾害动态监测、山区城镇山地灾害监测预警、重大山地灾害应急灾害信息采集</w:t>
      </w:r>
      <w:r>
        <w:rPr>
          <w:kern w:val="0"/>
          <w:sz w:val="21"/>
          <w:szCs w:val="21"/>
        </w:rPr>
        <w:t>/</w:t>
      </w:r>
      <w:r>
        <w:rPr>
          <w:rFonts w:hint="eastAsia"/>
          <w:kern w:val="0"/>
          <w:sz w:val="21"/>
          <w:szCs w:val="21"/>
        </w:rPr>
        <w:t>传输、重大山地灾害灾情快速评估与应对等。</w:t>
      </w:r>
    </w:p>
    <w:p w:rsidR="00F2015C" w:rsidRDefault="00F2015C" w:rsidP="00F2015C">
      <w:pPr>
        <w:adjustRightInd w:val="0"/>
        <w:snapToGrid w:val="0"/>
        <w:ind w:firstLineChars="200" w:firstLine="420"/>
        <w:rPr>
          <w:kern w:val="0"/>
          <w:sz w:val="21"/>
          <w:szCs w:val="21"/>
        </w:rPr>
      </w:pPr>
      <w:r>
        <w:rPr>
          <w:rFonts w:eastAsia="楷体_GB2312"/>
          <w:kern w:val="0"/>
          <w:sz w:val="21"/>
          <w:szCs w:val="21"/>
        </w:rPr>
        <w:t xml:space="preserve">2. </w:t>
      </w:r>
      <w:r>
        <w:rPr>
          <w:rFonts w:hint="eastAsia"/>
          <w:kern w:val="0"/>
          <w:sz w:val="21"/>
          <w:szCs w:val="21"/>
        </w:rPr>
        <w:t>现代农业。重点支持水稻、茶叶、水果、特色杂粮等农产品重金属残留削减与品质提升、小麦</w:t>
      </w:r>
      <w:r>
        <w:rPr>
          <w:kern w:val="0"/>
          <w:sz w:val="21"/>
          <w:szCs w:val="21"/>
        </w:rPr>
        <w:t>/</w:t>
      </w:r>
      <w:r>
        <w:rPr>
          <w:rFonts w:hint="eastAsia"/>
          <w:kern w:val="0"/>
          <w:sz w:val="21"/>
          <w:szCs w:val="21"/>
        </w:rPr>
        <w:t>大麦分子育种、种子生物学、禾谷类作物品质与食品安全、作物遗传与进化、特色猪、鸡、羊的品种资源及畜禽重大疫病的流行病学调查等。</w:t>
      </w:r>
    </w:p>
    <w:p w:rsidR="00F2015C" w:rsidRDefault="00F2015C" w:rsidP="00F2015C">
      <w:pPr>
        <w:adjustRightInd w:val="0"/>
        <w:snapToGrid w:val="0"/>
        <w:ind w:firstLineChars="200" w:firstLine="420"/>
        <w:rPr>
          <w:kern w:val="0"/>
          <w:sz w:val="21"/>
          <w:szCs w:val="21"/>
        </w:rPr>
      </w:pPr>
      <w:r>
        <w:rPr>
          <w:kern w:val="0"/>
          <w:sz w:val="21"/>
          <w:szCs w:val="21"/>
        </w:rPr>
        <w:t xml:space="preserve">3. </w:t>
      </w:r>
      <w:r>
        <w:rPr>
          <w:rFonts w:hint="eastAsia"/>
          <w:kern w:val="0"/>
          <w:sz w:val="21"/>
          <w:szCs w:val="21"/>
        </w:rPr>
        <w:t>轨道交通。重点支持轨道交通基础设施、移动装备、牵引供电、通信信号与信息系统、运输组织与安全等。</w:t>
      </w:r>
    </w:p>
    <w:p w:rsidR="00F2015C" w:rsidRDefault="00F2015C" w:rsidP="00F2015C">
      <w:pPr>
        <w:adjustRightInd w:val="0"/>
        <w:snapToGrid w:val="0"/>
        <w:ind w:firstLineChars="200" w:firstLine="420"/>
        <w:rPr>
          <w:kern w:val="0"/>
          <w:sz w:val="21"/>
          <w:szCs w:val="21"/>
        </w:rPr>
      </w:pPr>
      <w:r>
        <w:rPr>
          <w:kern w:val="0"/>
          <w:sz w:val="21"/>
          <w:szCs w:val="21"/>
        </w:rPr>
        <w:t xml:space="preserve">4. </w:t>
      </w:r>
      <w:r>
        <w:rPr>
          <w:rFonts w:hint="eastAsia"/>
          <w:kern w:val="0"/>
          <w:sz w:val="21"/>
          <w:szCs w:val="21"/>
        </w:rPr>
        <w:t>高端装备制造。重点支持复杂机电系统创新设计、工业互联网环境下的智能制造、智能装备功能部件设计制造、增材制造基础、绿色低碳设计制造等。</w:t>
      </w:r>
    </w:p>
    <w:p w:rsidR="00F2015C" w:rsidRDefault="00F2015C" w:rsidP="00F2015C">
      <w:pPr>
        <w:adjustRightInd w:val="0"/>
        <w:snapToGrid w:val="0"/>
        <w:ind w:firstLineChars="200" w:firstLine="420"/>
        <w:rPr>
          <w:kern w:val="0"/>
          <w:sz w:val="21"/>
          <w:szCs w:val="21"/>
        </w:rPr>
      </w:pPr>
      <w:r>
        <w:rPr>
          <w:kern w:val="0"/>
          <w:sz w:val="21"/>
          <w:szCs w:val="21"/>
        </w:rPr>
        <w:t xml:space="preserve">5. </w:t>
      </w:r>
      <w:r>
        <w:rPr>
          <w:rFonts w:hint="eastAsia"/>
          <w:kern w:val="0"/>
          <w:sz w:val="21"/>
          <w:szCs w:val="21"/>
        </w:rPr>
        <w:t>新一代信息技术。重点支持电子信息功能材料与元器件、微纳电子器件及系统集成、光电子器件及片上集成等。</w:t>
      </w:r>
    </w:p>
    <w:p w:rsidR="00F2015C" w:rsidRDefault="00F2015C" w:rsidP="00F2015C">
      <w:pPr>
        <w:adjustRightInd w:val="0"/>
        <w:snapToGrid w:val="0"/>
        <w:ind w:firstLineChars="200" w:firstLine="420"/>
        <w:rPr>
          <w:kern w:val="0"/>
          <w:sz w:val="21"/>
          <w:szCs w:val="21"/>
        </w:rPr>
      </w:pPr>
      <w:r>
        <w:rPr>
          <w:kern w:val="0"/>
          <w:sz w:val="21"/>
          <w:szCs w:val="21"/>
        </w:rPr>
        <w:t xml:space="preserve">6. </w:t>
      </w:r>
      <w:r>
        <w:rPr>
          <w:rFonts w:hint="eastAsia"/>
          <w:kern w:val="0"/>
          <w:sz w:val="21"/>
          <w:szCs w:val="21"/>
        </w:rPr>
        <w:t>新材料。重点支持高品质石墨烯可控制备、高性能玄武岩纤维功能化改性、新型电子信息材料与元器件及其高性能化、稀土钒钛新材料及其制备加工、铜和铝等有色金属新材料的高性能化、特种玻璃和陶瓷材料等先进无机材料的绿色制造、高分子材料的高性能化与功能化等。</w:t>
      </w:r>
    </w:p>
    <w:p w:rsidR="00F2015C" w:rsidRDefault="00F2015C" w:rsidP="00F2015C">
      <w:pPr>
        <w:adjustRightInd w:val="0"/>
        <w:snapToGrid w:val="0"/>
        <w:ind w:firstLineChars="200" w:firstLine="420"/>
        <w:rPr>
          <w:kern w:val="0"/>
          <w:sz w:val="21"/>
          <w:szCs w:val="21"/>
        </w:rPr>
      </w:pPr>
      <w:r>
        <w:rPr>
          <w:kern w:val="0"/>
          <w:sz w:val="21"/>
          <w:szCs w:val="21"/>
        </w:rPr>
        <w:t>7.</w:t>
      </w:r>
      <w:r>
        <w:rPr>
          <w:rFonts w:hint="eastAsia"/>
          <w:kern w:val="0"/>
          <w:sz w:val="21"/>
          <w:szCs w:val="21"/>
        </w:rPr>
        <w:t>航空与燃机。重点支持航空燃料燃烧反应计算及动力学建模、发动机燃烧过程光谱诊断、发动机排放污染组分形成机理、航空燃料高温热物理测试技术标准化、发动机喷嘴结焦机理、发动机高温热部件材料特性、发动机典型部件抗疲劳分析、涡轮冲压组合动力点火等。</w:t>
      </w:r>
    </w:p>
    <w:p w:rsidR="00F2015C" w:rsidRDefault="00F2015C" w:rsidP="00F2015C">
      <w:pPr>
        <w:adjustRightInd w:val="0"/>
        <w:snapToGrid w:val="0"/>
        <w:ind w:firstLineChars="200" w:firstLine="420"/>
        <w:rPr>
          <w:kern w:val="0"/>
          <w:sz w:val="21"/>
          <w:szCs w:val="21"/>
        </w:rPr>
      </w:pPr>
      <w:r>
        <w:rPr>
          <w:kern w:val="0"/>
          <w:sz w:val="21"/>
          <w:szCs w:val="21"/>
        </w:rPr>
        <w:t>8.</w:t>
      </w:r>
      <w:r>
        <w:rPr>
          <w:rFonts w:hint="eastAsia"/>
          <w:kern w:val="0"/>
          <w:sz w:val="21"/>
          <w:szCs w:val="21"/>
        </w:rPr>
        <w:t>养老健康。重点支持医养结合功能促进与风险防范系列适宜性、基于医养结合云计算平台的大数据应用、医养结合服务数字化、医养结合中的中医适宜性技术与标准等。</w:t>
      </w:r>
    </w:p>
    <w:p w:rsidR="00F2015C" w:rsidRDefault="00F2015C" w:rsidP="00F2015C">
      <w:pPr>
        <w:adjustRightInd w:val="0"/>
        <w:snapToGrid w:val="0"/>
        <w:ind w:firstLineChars="200" w:firstLine="420"/>
        <w:rPr>
          <w:kern w:val="0"/>
          <w:sz w:val="21"/>
          <w:szCs w:val="21"/>
        </w:rPr>
      </w:pPr>
      <w:r>
        <w:rPr>
          <w:kern w:val="0"/>
          <w:sz w:val="21"/>
          <w:szCs w:val="21"/>
        </w:rPr>
        <w:t>9.</w:t>
      </w:r>
      <w:r>
        <w:rPr>
          <w:rFonts w:hint="eastAsia"/>
          <w:kern w:val="0"/>
          <w:sz w:val="21"/>
          <w:szCs w:val="21"/>
        </w:rPr>
        <w:t>生物医药。重点支持重要基因的功能及蛋白结构与新靶点、新型的靶向导入系统及靶向治疗、新型的免疫治疗与基因治疗、精准医学在重大疾病相关生物医药开发领域中的研究等。</w:t>
      </w:r>
    </w:p>
    <w:p w:rsidR="00F2015C" w:rsidRDefault="00F2015C" w:rsidP="00F2015C">
      <w:pPr>
        <w:adjustRightInd w:val="0"/>
        <w:snapToGrid w:val="0"/>
        <w:ind w:firstLineChars="200" w:firstLine="420"/>
        <w:rPr>
          <w:kern w:val="0"/>
          <w:sz w:val="21"/>
          <w:szCs w:val="21"/>
        </w:rPr>
      </w:pPr>
      <w:r>
        <w:rPr>
          <w:kern w:val="0"/>
          <w:sz w:val="21"/>
          <w:szCs w:val="21"/>
        </w:rPr>
        <w:t>10.</w:t>
      </w:r>
      <w:r>
        <w:rPr>
          <w:rFonts w:hint="eastAsia"/>
          <w:kern w:val="0"/>
          <w:sz w:val="21"/>
          <w:szCs w:val="21"/>
        </w:rPr>
        <w:t>大气污染。重点支持大气环境容量与气象条件的关系、挥发性的有机化合物（</w:t>
      </w:r>
      <w:r>
        <w:rPr>
          <w:kern w:val="0"/>
          <w:sz w:val="21"/>
          <w:szCs w:val="21"/>
        </w:rPr>
        <w:t>VOC</w:t>
      </w:r>
      <w:r>
        <w:rPr>
          <w:rFonts w:hint="eastAsia"/>
          <w:kern w:val="0"/>
          <w:sz w:val="21"/>
          <w:szCs w:val="21"/>
        </w:rPr>
        <w:t>）来源与空气污染关系、空气污染源谱、污染源清单对源解析的影响、四川盆地大气污染传输及沉降特征、机动车（移动源）污染源污染特征及模拟等。</w:t>
      </w:r>
    </w:p>
    <w:p w:rsidR="00F2015C" w:rsidRDefault="00F2015C" w:rsidP="00F2015C">
      <w:pPr>
        <w:adjustRightInd w:val="0"/>
        <w:snapToGrid w:val="0"/>
        <w:ind w:firstLineChars="200" w:firstLine="420"/>
        <w:rPr>
          <w:kern w:val="0"/>
          <w:sz w:val="21"/>
          <w:szCs w:val="21"/>
        </w:rPr>
      </w:pPr>
      <w:r>
        <w:rPr>
          <w:kern w:val="0"/>
          <w:sz w:val="21"/>
          <w:szCs w:val="21"/>
        </w:rPr>
        <w:t>11.</w:t>
      </w:r>
      <w:r>
        <w:rPr>
          <w:rFonts w:hint="eastAsia"/>
          <w:kern w:val="0"/>
          <w:sz w:val="21"/>
          <w:szCs w:val="21"/>
        </w:rPr>
        <w:t>水污染。重点支持膜技术在水污染控制上的机理及应用、多介质空间范围内的有毒有害污染物迁移转化规律及降解机理、涉重金属废水的高效吸附材料开发与工艺、城镇污水</w:t>
      </w:r>
      <w:r>
        <w:rPr>
          <w:rFonts w:hint="eastAsia"/>
          <w:kern w:val="0"/>
          <w:sz w:val="21"/>
          <w:szCs w:val="21"/>
        </w:rPr>
        <w:lastRenderedPageBreak/>
        <w:t>厂剩余污泥减量化和资源化、地表径流强度与黑臭水体成因等。</w:t>
      </w:r>
    </w:p>
    <w:p w:rsidR="00F2015C" w:rsidRDefault="00F2015C" w:rsidP="00F2015C">
      <w:pPr>
        <w:adjustRightInd w:val="0"/>
        <w:snapToGrid w:val="0"/>
        <w:ind w:firstLineChars="200" w:firstLine="420"/>
        <w:rPr>
          <w:kern w:val="0"/>
          <w:sz w:val="21"/>
          <w:szCs w:val="21"/>
        </w:rPr>
      </w:pPr>
      <w:r>
        <w:rPr>
          <w:kern w:val="0"/>
          <w:sz w:val="21"/>
          <w:szCs w:val="21"/>
        </w:rPr>
        <w:t>12.</w:t>
      </w:r>
      <w:r>
        <w:rPr>
          <w:rFonts w:hint="eastAsia"/>
          <w:kern w:val="0"/>
          <w:sz w:val="21"/>
          <w:szCs w:val="21"/>
        </w:rPr>
        <w:t>土壤污染。重点支持土壤有机污染原位修复新技术、土壤重金属污染修复、废旧工矿污染场地安全利用、土壤污染修复新材料、土壤污染各因子赋存形式与迁移转化等。</w:t>
      </w:r>
    </w:p>
    <w:p w:rsidR="00F2015C" w:rsidRDefault="00F2015C" w:rsidP="00F2015C">
      <w:pPr>
        <w:adjustRightInd w:val="0"/>
        <w:snapToGrid w:val="0"/>
        <w:ind w:firstLineChars="200" w:firstLine="420"/>
        <w:rPr>
          <w:rFonts w:eastAsia="楷体_GB2312"/>
          <w:b/>
          <w:kern w:val="0"/>
          <w:sz w:val="21"/>
          <w:szCs w:val="21"/>
        </w:rPr>
      </w:pPr>
      <w:r>
        <w:rPr>
          <w:rFonts w:eastAsia="楷体_GB2312" w:hint="eastAsia"/>
          <w:kern w:val="0"/>
          <w:sz w:val="21"/>
          <w:szCs w:val="21"/>
        </w:rPr>
        <w:t>（三）自由探索的基础研究和应用基础研究。</w:t>
      </w:r>
      <w:r>
        <w:rPr>
          <w:rFonts w:hint="eastAsia"/>
          <w:kern w:val="0"/>
          <w:sz w:val="21"/>
          <w:szCs w:val="21"/>
        </w:rPr>
        <w:t>鼓励基础学科之间、基础学科与应用学科的交叉融合，</w:t>
      </w:r>
      <w:r>
        <w:rPr>
          <w:rFonts w:hint="eastAsia"/>
          <w:color w:val="000000"/>
          <w:sz w:val="21"/>
          <w:szCs w:val="21"/>
        </w:rPr>
        <w:t>促进目标导向研究和自由探索相互衔接，</w:t>
      </w:r>
      <w:r>
        <w:rPr>
          <w:rFonts w:hint="eastAsia"/>
          <w:kern w:val="0"/>
          <w:sz w:val="21"/>
          <w:szCs w:val="21"/>
        </w:rPr>
        <w:t>尊重科学研究灵感瞬间性、方式随意性、路径不确定性的特点，支持科研人员结合自己的研究领域，特别是围绕我省重点产业发展和公益民生可持续发展的基础技术、通用技术、</w:t>
      </w:r>
      <w:r>
        <w:rPr>
          <w:color w:val="000000"/>
          <w:sz w:val="21"/>
          <w:szCs w:val="21"/>
        </w:rPr>
        <w:t>“</w:t>
      </w:r>
      <w:r>
        <w:rPr>
          <w:rFonts w:hint="eastAsia"/>
          <w:color w:val="000000"/>
          <w:sz w:val="21"/>
          <w:szCs w:val="21"/>
        </w:rPr>
        <w:t>杀手锏</w:t>
      </w:r>
      <w:r>
        <w:rPr>
          <w:color w:val="000000"/>
          <w:sz w:val="21"/>
          <w:szCs w:val="21"/>
        </w:rPr>
        <w:t>”</w:t>
      </w:r>
      <w:r>
        <w:rPr>
          <w:rFonts w:hint="eastAsia"/>
          <w:color w:val="000000"/>
          <w:sz w:val="21"/>
          <w:szCs w:val="21"/>
        </w:rPr>
        <w:t>技术、颠覆性技术等核心技术开展基础研究和应用基础研究，鼓励</w:t>
      </w:r>
      <w:r>
        <w:rPr>
          <w:rFonts w:hint="eastAsia"/>
          <w:kern w:val="0"/>
          <w:sz w:val="21"/>
          <w:szCs w:val="21"/>
        </w:rPr>
        <w:t>自主设计，大胆假设，认真求证，自由探索。</w:t>
      </w:r>
    </w:p>
    <w:p w:rsidR="00F2015C" w:rsidRDefault="00F2015C" w:rsidP="00F2015C">
      <w:pPr>
        <w:widowControl/>
        <w:adjustRightInd w:val="0"/>
        <w:snapToGrid w:val="0"/>
        <w:ind w:firstLineChars="200" w:firstLine="420"/>
        <w:jc w:val="left"/>
        <w:rPr>
          <w:rFonts w:eastAsia="黑体"/>
          <w:bCs/>
          <w:kern w:val="0"/>
          <w:sz w:val="21"/>
          <w:szCs w:val="21"/>
        </w:rPr>
      </w:pPr>
      <w:r>
        <w:rPr>
          <w:rFonts w:eastAsia="黑体" w:hint="eastAsia"/>
          <w:bCs/>
          <w:kern w:val="0"/>
          <w:sz w:val="21"/>
          <w:szCs w:val="21"/>
        </w:rPr>
        <w:t>三、优先支持</w:t>
      </w:r>
    </w:p>
    <w:p w:rsidR="00F2015C" w:rsidRDefault="00F2015C" w:rsidP="00F2015C">
      <w:pPr>
        <w:adjustRightInd w:val="0"/>
        <w:snapToGrid w:val="0"/>
        <w:ind w:firstLineChars="202" w:firstLine="424"/>
        <w:rPr>
          <w:sz w:val="21"/>
          <w:szCs w:val="21"/>
        </w:rPr>
      </w:pPr>
      <w:r>
        <w:rPr>
          <w:rFonts w:hint="eastAsia"/>
          <w:sz w:val="21"/>
          <w:szCs w:val="21"/>
        </w:rPr>
        <w:t>（一）围绕我省全面创新改革试验</w:t>
      </w:r>
      <w:r>
        <w:rPr>
          <w:sz w:val="21"/>
          <w:szCs w:val="21"/>
        </w:rPr>
        <w:t>“</w:t>
      </w:r>
      <w:r>
        <w:rPr>
          <w:rFonts w:hint="eastAsia"/>
          <w:sz w:val="21"/>
          <w:szCs w:val="21"/>
        </w:rPr>
        <w:t>九张清单</w:t>
      </w:r>
      <w:r>
        <w:rPr>
          <w:sz w:val="21"/>
          <w:szCs w:val="21"/>
        </w:rPr>
        <w:t>”</w:t>
      </w:r>
      <w:r>
        <w:rPr>
          <w:rFonts w:hint="eastAsia"/>
          <w:sz w:val="21"/>
          <w:szCs w:val="21"/>
        </w:rPr>
        <w:t>中技术攻关重点领域和方向开展的应用基础研究。</w:t>
      </w:r>
    </w:p>
    <w:p w:rsidR="00F2015C" w:rsidRDefault="00F2015C" w:rsidP="00F2015C">
      <w:pPr>
        <w:adjustRightInd w:val="0"/>
        <w:snapToGrid w:val="0"/>
        <w:ind w:firstLineChars="202" w:firstLine="424"/>
        <w:rPr>
          <w:sz w:val="21"/>
          <w:szCs w:val="21"/>
        </w:rPr>
      </w:pPr>
      <w:r>
        <w:rPr>
          <w:rFonts w:hint="eastAsia"/>
          <w:sz w:val="21"/>
          <w:szCs w:val="21"/>
        </w:rPr>
        <w:t>（二）瞄准国家战略，围绕四川经济社会发展的优势产业、领域、学科重大科学问题，开展对接国家重大前沿和基础科学领域的基础研究和应用基础研究。</w:t>
      </w:r>
    </w:p>
    <w:p w:rsidR="00F2015C" w:rsidRDefault="00F2015C" w:rsidP="00F2015C">
      <w:pPr>
        <w:adjustRightInd w:val="0"/>
        <w:snapToGrid w:val="0"/>
        <w:ind w:firstLineChars="202" w:firstLine="424"/>
        <w:rPr>
          <w:sz w:val="21"/>
          <w:szCs w:val="21"/>
        </w:rPr>
      </w:pPr>
      <w:r>
        <w:rPr>
          <w:rFonts w:hint="eastAsia"/>
          <w:sz w:val="21"/>
          <w:szCs w:val="21"/>
        </w:rPr>
        <w:t>（三）学术思想新颖，创新性强，以达到国内乃至国际先进水平的研究方向或技术创新点为目标，开展深入系统的创新性研究，促进我省优势学科发展，推动我省若干重要领域或科学前沿取得突破的基础研究和应用基础研究。</w:t>
      </w:r>
    </w:p>
    <w:p w:rsidR="00F2015C" w:rsidRDefault="00F2015C" w:rsidP="00F2015C">
      <w:pPr>
        <w:adjustRightInd w:val="0"/>
        <w:snapToGrid w:val="0"/>
        <w:ind w:firstLineChars="202" w:firstLine="424"/>
        <w:rPr>
          <w:sz w:val="21"/>
          <w:szCs w:val="21"/>
        </w:rPr>
      </w:pPr>
      <w:r>
        <w:rPr>
          <w:rFonts w:hint="eastAsia"/>
          <w:sz w:val="21"/>
          <w:szCs w:val="21"/>
        </w:rPr>
        <w:t>（四）科技创新意义重大，应用前景广阔，瞄准四川重点优势产业或有关四川经济社会发展的关键性技术开展的应用基础研究。</w:t>
      </w:r>
    </w:p>
    <w:p w:rsidR="00F2015C" w:rsidRDefault="00F2015C" w:rsidP="00F2015C">
      <w:pPr>
        <w:adjustRightInd w:val="0"/>
        <w:snapToGrid w:val="0"/>
        <w:ind w:firstLineChars="202" w:firstLine="424"/>
        <w:rPr>
          <w:sz w:val="21"/>
          <w:szCs w:val="21"/>
        </w:rPr>
      </w:pPr>
      <w:r>
        <w:rPr>
          <w:rFonts w:hint="eastAsia"/>
          <w:sz w:val="21"/>
          <w:szCs w:val="21"/>
        </w:rPr>
        <w:t>（五）项目执行期内预期能产生原创性成果、形成自主知识产权、获得发明专利授权或进入发明专利实审的应用基础研究。</w:t>
      </w:r>
    </w:p>
    <w:p w:rsidR="00F2015C" w:rsidRDefault="00F2015C" w:rsidP="00F2015C">
      <w:pPr>
        <w:adjustRightInd w:val="0"/>
        <w:snapToGrid w:val="0"/>
        <w:ind w:firstLineChars="202" w:firstLine="424"/>
        <w:rPr>
          <w:sz w:val="21"/>
          <w:szCs w:val="21"/>
        </w:rPr>
      </w:pPr>
      <w:r>
        <w:rPr>
          <w:rFonts w:hint="eastAsia"/>
          <w:sz w:val="21"/>
          <w:szCs w:val="21"/>
        </w:rPr>
        <w:t>（六）鼓励企业参与，产学研联合开展的应用基础研究。</w:t>
      </w:r>
    </w:p>
    <w:p w:rsidR="00F2015C" w:rsidRDefault="00F2015C" w:rsidP="00F2015C">
      <w:pPr>
        <w:adjustRightInd w:val="0"/>
        <w:snapToGrid w:val="0"/>
        <w:ind w:firstLineChars="202" w:firstLine="424"/>
        <w:rPr>
          <w:b/>
          <w:color w:val="000000"/>
          <w:sz w:val="21"/>
          <w:szCs w:val="21"/>
        </w:rPr>
      </w:pPr>
      <w:r>
        <w:rPr>
          <w:rFonts w:hint="eastAsia"/>
          <w:sz w:val="21"/>
          <w:szCs w:val="21"/>
        </w:rPr>
        <w:t>（七）依托四川省重点实验室等省部级（含）以上科技创新基地（平台）开展的基础研究和应用基础研究（需在申报材料中注明平台名称）。</w:t>
      </w:r>
    </w:p>
    <w:p w:rsidR="00F2015C" w:rsidRDefault="00F2015C" w:rsidP="00F2015C">
      <w:pPr>
        <w:widowControl/>
        <w:adjustRightInd w:val="0"/>
        <w:snapToGrid w:val="0"/>
        <w:ind w:firstLineChars="196" w:firstLine="412"/>
        <w:jc w:val="left"/>
        <w:rPr>
          <w:rFonts w:eastAsia="黑体"/>
          <w:kern w:val="0"/>
          <w:sz w:val="21"/>
          <w:szCs w:val="21"/>
        </w:rPr>
      </w:pPr>
      <w:r>
        <w:rPr>
          <w:rFonts w:eastAsia="黑体" w:hint="eastAsia"/>
          <w:kern w:val="0"/>
          <w:sz w:val="21"/>
          <w:szCs w:val="21"/>
        </w:rPr>
        <w:t>四、申报要求</w:t>
      </w:r>
    </w:p>
    <w:p w:rsidR="00F2015C" w:rsidRDefault="00F2015C" w:rsidP="00F2015C">
      <w:pPr>
        <w:tabs>
          <w:tab w:val="left" w:pos="709"/>
        </w:tabs>
        <w:adjustRightInd w:val="0"/>
        <w:snapToGrid w:val="0"/>
        <w:ind w:firstLine="645"/>
        <w:rPr>
          <w:sz w:val="21"/>
          <w:szCs w:val="21"/>
        </w:rPr>
      </w:pPr>
      <w:r>
        <w:rPr>
          <w:rFonts w:hint="eastAsia"/>
          <w:sz w:val="21"/>
          <w:szCs w:val="21"/>
        </w:rPr>
        <w:t>（一）重大前沿项目负责人应是四川省重点实验室等省部级（含）以上科技创新基地（平台）的固定人员，应具有主持省部级（含）以上基础研究或应用基础研究项目的经历；具有正高级专业技术职称。</w:t>
      </w:r>
    </w:p>
    <w:p w:rsidR="00F2015C" w:rsidRDefault="00F2015C" w:rsidP="00F2015C">
      <w:pPr>
        <w:tabs>
          <w:tab w:val="left" w:pos="709"/>
        </w:tabs>
        <w:adjustRightInd w:val="0"/>
        <w:snapToGrid w:val="0"/>
        <w:ind w:firstLine="645"/>
        <w:rPr>
          <w:sz w:val="21"/>
          <w:szCs w:val="21"/>
        </w:rPr>
      </w:pPr>
      <w:r>
        <w:rPr>
          <w:rFonts w:hint="eastAsia"/>
          <w:sz w:val="21"/>
          <w:szCs w:val="21"/>
        </w:rPr>
        <w:t>（二）重点项目负责人应具有主持或参与省部级（含）以上基础研究或应用基础研究项目的经历，具有高级专业技术职称或者具有博士学位。</w:t>
      </w:r>
    </w:p>
    <w:p w:rsidR="00F2015C" w:rsidRDefault="00F2015C" w:rsidP="00F2015C">
      <w:pPr>
        <w:tabs>
          <w:tab w:val="left" w:pos="709"/>
        </w:tabs>
        <w:adjustRightInd w:val="0"/>
        <w:snapToGrid w:val="0"/>
        <w:ind w:firstLine="645"/>
        <w:rPr>
          <w:sz w:val="21"/>
          <w:szCs w:val="21"/>
        </w:rPr>
      </w:pPr>
      <w:r>
        <w:rPr>
          <w:rFonts w:hint="eastAsia"/>
          <w:sz w:val="21"/>
          <w:szCs w:val="21"/>
        </w:rPr>
        <w:t>（三）面上项目负责人应具有高级专业技术职称或者具有博士学位，或者获得硕士学位</w:t>
      </w:r>
      <w:r>
        <w:rPr>
          <w:sz w:val="21"/>
          <w:szCs w:val="21"/>
        </w:rPr>
        <w:t>4</w:t>
      </w:r>
      <w:r>
        <w:rPr>
          <w:rFonts w:hint="eastAsia"/>
          <w:sz w:val="21"/>
          <w:szCs w:val="21"/>
        </w:rPr>
        <w:t>年（含）以上。</w:t>
      </w:r>
    </w:p>
    <w:p w:rsidR="00F2015C" w:rsidRDefault="00F2015C" w:rsidP="00F2015C">
      <w:pPr>
        <w:tabs>
          <w:tab w:val="left" w:pos="709"/>
        </w:tabs>
        <w:adjustRightInd w:val="0"/>
        <w:snapToGrid w:val="0"/>
        <w:ind w:firstLine="645"/>
        <w:rPr>
          <w:sz w:val="21"/>
          <w:szCs w:val="21"/>
        </w:rPr>
      </w:pPr>
      <w:r>
        <w:rPr>
          <w:rFonts w:hint="eastAsia"/>
          <w:sz w:val="21"/>
          <w:szCs w:val="21"/>
        </w:rPr>
        <w:t>（四）项目负责人必须有足够的精力投入项目组织和管理，亲自参加项目的研究和实施。项目的主要研究人员，要具有相应的专业技术职称，并有一定的研究专长。</w:t>
      </w:r>
    </w:p>
    <w:p w:rsidR="00F2015C" w:rsidRDefault="00F2015C" w:rsidP="00F2015C">
      <w:pPr>
        <w:widowControl/>
        <w:adjustRightInd w:val="0"/>
        <w:snapToGrid w:val="0"/>
        <w:ind w:firstLineChars="196" w:firstLine="412"/>
        <w:jc w:val="left"/>
        <w:rPr>
          <w:rFonts w:eastAsia="黑体"/>
          <w:kern w:val="0"/>
          <w:sz w:val="21"/>
          <w:szCs w:val="21"/>
        </w:rPr>
      </w:pPr>
      <w:r>
        <w:rPr>
          <w:rFonts w:eastAsia="黑体" w:hint="eastAsia"/>
          <w:kern w:val="0"/>
          <w:sz w:val="21"/>
          <w:szCs w:val="21"/>
        </w:rPr>
        <w:t>五、有关说明</w:t>
      </w:r>
    </w:p>
    <w:p w:rsidR="00F2015C" w:rsidRDefault="00F2015C" w:rsidP="00F2015C">
      <w:pPr>
        <w:adjustRightInd w:val="0"/>
        <w:snapToGrid w:val="0"/>
        <w:ind w:firstLineChars="203" w:firstLine="426"/>
        <w:rPr>
          <w:sz w:val="21"/>
          <w:szCs w:val="21"/>
        </w:rPr>
      </w:pPr>
      <w:r>
        <w:rPr>
          <w:rFonts w:hint="eastAsia"/>
          <w:sz w:val="21"/>
          <w:szCs w:val="21"/>
        </w:rPr>
        <w:t>（一）经费安排。重大前沿项目拟立项</w:t>
      </w:r>
      <w:r>
        <w:rPr>
          <w:sz w:val="21"/>
          <w:szCs w:val="21"/>
        </w:rPr>
        <w:t>10</w:t>
      </w:r>
      <w:r>
        <w:rPr>
          <w:rFonts w:hint="eastAsia"/>
          <w:sz w:val="21"/>
          <w:szCs w:val="21"/>
        </w:rPr>
        <w:t>个，每项财政预算不超过</w:t>
      </w:r>
      <w:r>
        <w:rPr>
          <w:sz w:val="21"/>
          <w:szCs w:val="21"/>
        </w:rPr>
        <w:t>80</w:t>
      </w:r>
      <w:r>
        <w:rPr>
          <w:rFonts w:hint="eastAsia"/>
          <w:sz w:val="21"/>
          <w:szCs w:val="21"/>
        </w:rPr>
        <w:t>万元；重点项目拟立项</w:t>
      </w:r>
      <w:r>
        <w:rPr>
          <w:sz w:val="21"/>
          <w:szCs w:val="21"/>
        </w:rPr>
        <w:t>50</w:t>
      </w:r>
      <w:r>
        <w:rPr>
          <w:rFonts w:hint="eastAsia"/>
          <w:sz w:val="21"/>
          <w:szCs w:val="21"/>
        </w:rPr>
        <w:t>个，每项财政预算不超过</w:t>
      </w:r>
      <w:r>
        <w:rPr>
          <w:sz w:val="21"/>
          <w:szCs w:val="21"/>
        </w:rPr>
        <w:t>30</w:t>
      </w:r>
      <w:r>
        <w:rPr>
          <w:rFonts w:hint="eastAsia"/>
          <w:sz w:val="21"/>
          <w:szCs w:val="21"/>
        </w:rPr>
        <w:t>万元；面上项目拟立项</w:t>
      </w:r>
      <w:r>
        <w:rPr>
          <w:sz w:val="21"/>
          <w:szCs w:val="21"/>
        </w:rPr>
        <w:t>270</w:t>
      </w:r>
      <w:r>
        <w:rPr>
          <w:rFonts w:hint="eastAsia"/>
          <w:sz w:val="21"/>
          <w:szCs w:val="21"/>
        </w:rPr>
        <w:t>个，每项财政预算</w:t>
      </w:r>
      <w:r>
        <w:rPr>
          <w:sz w:val="21"/>
          <w:szCs w:val="21"/>
        </w:rPr>
        <w:t>10</w:t>
      </w:r>
      <w:r>
        <w:rPr>
          <w:rFonts w:hint="eastAsia"/>
          <w:sz w:val="21"/>
          <w:szCs w:val="21"/>
        </w:rPr>
        <w:t>万元。</w:t>
      </w:r>
    </w:p>
    <w:p w:rsidR="00F2015C" w:rsidRDefault="00F2015C" w:rsidP="00F2015C">
      <w:pPr>
        <w:adjustRightInd w:val="0"/>
        <w:snapToGrid w:val="0"/>
        <w:ind w:firstLineChars="203" w:firstLine="426"/>
        <w:rPr>
          <w:sz w:val="21"/>
          <w:szCs w:val="21"/>
        </w:rPr>
      </w:pPr>
      <w:r>
        <w:rPr>
          <w:rFonts w:hint="eastAsia"/>
          <w:sz w:val="21"/>
          <w:szCs w:val="21"/>
        </w:rPr>
        <w:t>（二）项目研究周期一般为</w:t>
      </w:r>
      <w:r>
        <w:rPr>
          <w:sz w:val="21"/>
          <w:szCs w:val="21"/>
        </w:rPr>
        <w:t>2-3</w:t>
      </w:r>
      <w:r>
        <w:rPr>
          <w:rFonts w:hint="eastAsia"/>
          <w:sz w:val="21"/>
          <w:szCs w:val="21"/>
        </w:rPr>
        <w:t>年，起始时间为</w:t>
      </w:r>
      <w:r>
        <w:rPr>
          <w:sz w:val="21"/>
          <w:szCs w:val="21"/>
        </w:rPr>
        <w:t>2018</w:t>
      </w:r>
      <w:r>
        <w:rPr>
          <w:rFonts w:hint="eastAsia"/>
          <w:sz w:val="21"/>
          <w:szCs w:val="21"/>
        </w:rPr>
        <w:t>年</w:t>
      </w:r>
      <w:r>
        <w:rPr>
          <w:sz w:val="21"/>
          <w:szCs w:val="21"/>
        </w:rPr>
        <w:t>1</w:t>
      </w:r>
      <w:r>
        <w:rPr>
          <w:rFonts w:hint="eastAsia"/>
          <w:sz w:val="21"/>
          <w:szCs w:val="21"/>
        </w:rPr>
        <w:t>月，申报单位为企业的须提供</w:t>
      </w:r>
      <w:r>
        <w:rPr>
          <w:sz w:val="21"/>
          <w:szCs w:val="21"/>
        </w:rPr>
        <w:t>1:1</w:t>
      </w:r>
      <w:r>
        <w:rPr>
          <w:rFonts w:hint="eastAsia"/>
          <w:sz w:val="21"/>
          <w:szCs w:val="21"/>
        </w:rPr>
        <w:t>以上的配套资金。</w:t>
      </w:r>
      <w:r>
        <w:rPr>
          <w:rFonts w:hint="eastAsia"/>
          <w:kern w:val="0"/>
          <w:sz w:val="21"/>
          <w:szCs w:val="21"/>
        </w:rPr>
        <w:t>所有经费必须设立专账，足额到项目，专款专用。</w:t>
      </w:r>
    </w:p>
    <w:p w:rsidR="00F2015C" w:rsidRDefault="00F2015C" w:rsidP="00F2015C">
      <w:pPr>
        <w:adjustRightInd w:val="0"/>
        <w:snapToGrid w:val="0"/>
        <w:ind w:firstLineChars="203" w:firstLine="426"/>
        <w:rPr>
          <w:sz w:val="21"/>
          <w:szCs w:val="21"/>
        </w:rPr>
      </w:pPr>
      <w:r>
        <w:rPr>
          <w:rFonts w:hint="eastAsia"/>
          <w:sz w:val="21"/>
          <w:szCs w:val="21"/>
        </w:rPr>
        <w:t>（三）限项申报。</w:t>
      </w:r>
      <w:r>
        <w:rPr>
          <w:rFonts w:hint="eastAsia"/>
          <w:color w:val="FF0000"/>
          <w:sz w:val="21"/>
          <w:szCs w:val="21"/>
        </w:rPr>
        <w:t>重大前沿项目每个单位限报</w:t>
      </w:r>
      <w:r>
        <w:rPr>
          <w:color w:val="FF0000"/>
          <w:sz w:val="21"/>
          <w:szCs w:val="21"/>
        </w:rPr>
        <w:t>2</w:t>
      </w:r>
      <w:r>
        <w:rPr>
          <w:rFonts w:hint="eastAsia"/>
          <w:color w:val="FF0000"/>
          <w:sz w:val="21"/>
          <w:szCs w:val="21"/>
        </w:rPr>
        <w:t>项</w:t>
      </w:r>
      <w:r>
        <w:rPr>
          <w:rFonts w:hint="eastAsia"/>
          <w:sz w:val="21"/>
          <w:szCs w:val="21"/>
        </w:rPr>
        <w:t>；重点项目和面上项目具体限项数详见附件《有关申报单位应用基础研究项目推荐名额表》，附件中未涉及的单位申报重点项目和面上项目各不超过</w:t>
      </w:r>
      <w:r>
        <w:rPr>
          <w:sz w:val="21"/>
          <w:szCs w:val="21"/>
        </w:rPr>
        <w:t>3</w:t>
      </w:r>
      <w:r>
        <w:rPr>
          <w:rFonts w:hint="eastAsia"/>
          <w:sz w:val="21"/>
          <w:szCs w:val="21"/>
        </w:rPr>
        <w:t>项。单位超额申报将不予受理。</w:t>
      </w:r>
    </w:p>
    <w:p w:rsidR="00F2015C" w:rsidRDefault="00F2015C" w:rsidP="00F2015C">
      <w:pPr>
        <w:adjustRightInd w:val="0"/>
        <w:snapToGrid w:val="0"/>
        <w:ind w:firstLineChars="203" w:firstLine="426"/>
        <w:rPr>
          <w:rFonts w:eastAsia="黑体"/>
          <w:kern w:val="0"/>
          <w:sz w:val="21"/>
          <w:szCs w:val="21"/>
        </w:rPr>
      </w:pPr>
      <w:r>
        <w:rPr>
          <w:rFonts w:eastAsia="黑体" w:hint="eastAsia"/>
          <w:kern w:val="0"/>
          <w:sz w:val="21"/>
          <w:szCs w:val="21"/>
        </w:rPr>
        <w:t>六、申报材料报送</w:t>
      </w:r>
    </w:p>
    <w:p w:rsidR="00F2015C" w:rsidRDefault="00F2015C" w:rsidP="00F2015C">
      <w:pPr>
        <w:adjustRightInd w:val="0"/>
        <w:snapToGrid w:val="0"/>
        <w:ind w:firstLineChars="203" w:firstLine="426"/>
        <w:rPr>
          <w:sz w:val="21"/>
          <w:szCs w:val="21"/>
        </w:rPr>
      </w:pPr>
      <w:r>
        <w:rPr>
          <w:rFonts w:hint="eastAsia"/>
          <w:sz w:val="21"/>
          <w:szCs w:val="21"/>
        </w:rPr>
        <w:t>项目负责人在线填写</w:t>
      </w:r>
      <w:r>
        <w:rPr>
          <w:sz w:val="21"/>
          <w:szCs w:val="21"/>
        </w:rPr>
        <w:t>“</w:t>
      </w:r>
      <w:r>
        <w:rPr>
          <w:rFonts w:hint="eastAsia"/>
          <w:sz w:val="21"/>
          <w:szCs w:val="21"/>
        </w:rPr>
        <w:t>四川省应用基础研究项目申报书</w:t>
      </w:r>
      <w:r>
        <w:rPr>
          <w:bCs/>
          <w:sz w:val="21"/>
          <w:szCs w:val="21"/>
        </w:rPr>
        <w:t>”</w:t>
      </w:r>
      <w:r>
        <w:rPr>
          <w:rFonts w:hint="eastAsia"/>
          <w:kern w:val="0"/>
          <w:sz w:val="21"/>
          <w:szCs w:val="21"/>
        </w:rPr>
        <w:t>，申报重大前沿项目请务必在项目名称后面加注</w:t>
      </w:r>
      <w:r>
        <w:rPr>
          <w:kern w:val="0"/>
          <w:sz w:val="21"/>
          <w:szCs w:val="21"/>
        </w:rPr>
        <w:t>“</w:t>
      </w:r>
      <w:r>
        <w:rPr>
          <w:rFonts w:hint="eastAsia"/>
          <w:kern w:val="0"/>
          <w:sz w:val="21"/>
          <w:szCs w:val="21"/>
        </w:rPr>
        <w:t>（重大前沿）</w:t>
      </w:r>
      <w:r>
        <w:rPr>
          <w:kern w:val="0"/>
          <w:sz w:val="21"/>
          <w:szCs w:val="21"/>
        </w:rPr>
        <w:t>”</w:t>
      </w:r>
      <w:r>
        <w:rPr>
          <w:rFonts w:hint="eastAsia"/>
          <w:kern w:val="0"/>
          <w:sz w:val="21"/>
          <w:szCs w:val="21"/>
        </w:rPr>
        <w:t>、申报重点项目请务必在项目名称后面加注</w:t>
      </w:r>
      <w:r>
        <w:rPr>
          <w:kern w:val="0"/>
          <w:sz w:val="21"/>
          <w:szCs w:val="21"/>
        </w:rPr>
        <w:t>“</w:t>
      </w:r>
      <w:r>
        <w:rPr>
          <w:rFonts w:hint="eastAsia"/>
          <w:kern w:val="0"/>
          <w:sz w:val="21"/>
          <w:szCs w:val="21"/>
        </w:rPr>
        <w:t>（重点）</w:t>
      </w:r>
      <w:r>
        <w:rPr>
          <w:kern w:val="0"/>
          <w:sz w:val="21"/>
          <w:szCs w:val="21"/>
        </w:rPr>
        <w:t>”</w:t>
      </w:r>
      <w:r>
        <w:rPr>
          <w:rFonts w:hint="eastAsia"/>
          <w:kern w:val="0"/>
          <w:sz w:val="21"/>
          <w:szCs w:val="21"/>
        </w:rPr>
        <w:t>、申报面上项目请务必在项目名称后面加注</w:t>
      </w:r>
      <w:r>
        <w:rPr>
          <w:kern w:val="0"/>
          <w:sz w:val="21"/>
          <w:szCs w:val="21"/>
        </w:rPr>
        <w:t>“</w:t>
      </w:r>
      <w:r>
        <w:rPr>
          <w:rFonts w:hint="eastAsia"/>
          <w:kern w:val="0"/>
          <w:sz w:val="21"/>
          <w:szCs w:val="21"/>
        </w:rPr>
        <w:t>（面上）</w:t>
      </w:r>
      <w:r>
        <w:rPr>
          <w:kern w:val="0"/>
          <w:sz w:val="21"/>
          <w:szCs w:val="21"/>
        </w:rPr>
        <w:t>”</w:t>
      </w:r>
      <w:r>
        <w:rPr>
          <w:rFonts w:hint="eastAsia"/>
          <w:kern w:val="0"/>
          <w:sz w:val="21"/>
          <w:szCs w:val="21"/>
        </w:rPr>
        <w:t>，项目名称后面未加注的将不予受理。</w:t>
      </w:r>
      <w:r>
        <w:rPr>
          <w:rFonts w:hint="eastAsia"/>
          <w:sz w:val="21"/>
          <w:szCs w:val="21"/>
        </w:rPr>
        <w:t>请申报单位在审核项目负责人提交的纸质申报书时，确认与网上申报系统中的电子文档一致，提出明确的推荐意见和经费匹配意见，加盖申报单位公章，一式</w:t>
      </w:r>
      <w:r>
        <w:rPr>
          <w:sz w:val="21"/>
          <w:szCs w:val="21"/>
        </w:rPr>
        <w:t>1</w:t>
      </w:r>
      <w:r>
        <w:rPr>
          <w:rFonts w:hint="eastAsia"/>
          <w:sz w:val="21"/>
          <w:szCs w:val="21"/>
        </w:rPr>
        <w:t>份上报归口管理部门，请归口管理部门进行申报项目的汇总、审核，在申报截止日期之前完成网上电子和纸质申报书审批。</w:t>
      </w:r>
    </w:p>
    <w:p w:rsidR="00F2015C" w:rsidRDefault="00F2015C" w:rsidP="00F2015C">
      <w:pPr>
        <w:adjustRightInd w:val="0"/>
        <w:snapToGrid w:val="0"/>
        <w:ind w:firstLineChars="203" w:firstLine="426"/>
        <w:rPr>
          <w:sz w:val="21"/>
          <w:szCs w:val="21"/>
        </w:rPr>
      </w:pPr>
    </w:p>
    <w:p w:rsidR="00F2015C" w:rsidRDefault="00F2015C" w:rsidP="00F2015C">
      <w:pPr>
        <w:adjustRightInd w:val="0"/>
        <w:snapToGrid w:val="0"/>
        <w:ind w:firstLineChars="253" w:firstLine="531"/>
        <w:rPr>
          <w:sz w:val="21"/>
          <w:szCs w:val="21"/>
        </w:rPr>
      </w:pPr>
      <w:r>
        <w:rPr>
          <w:rFonts w:hint="eastAsia"/>
          <w:sz w:val="21"/>
          <w:szCs w:val="21"/>
        </w:rPr>
        <w:lastRenderedPageBreak/>
        <w:t>附件：有关申报单位应用基础研究项目推荐名额表</w:t>
      </w:r>
    </w:p>
    <w:p w:rsidR="00F2015C" w:rsidRDefault="00F2015C" w:rsidP="00F2015C">
      <w:pPr>
        <w:widowControl/>
        <w:jc w:val="left"/>
        <w:rPr>
          <w:rFonts w:eastAsia="黑体"/>
          <w:sz w:val="21"/>
          <w:szCs w:val="21"/>
        </w:rPr>
      </w:pPr>
      <w:bookmarkStart w:id="0" w:name="_GoBack"/>
      <w:bookmarkEnd w:id="0"/>
      <w:r>
        <w:rPr>
          <w:rFonts w:eastAsia="黑体" w:hint="eastAsia"/>
          <w:sz w:val="21"/>
          <w:szCs w:val="21"/>
        </w:rPr>
        <w:t>附件</w:t>
      </w:r>
    </w:p>
    <w:p w:rsidR="00F2015C" w:rsidRDefault="00F2015C" w:rsidP="00F2015C">
      <w:pPr>
        <w:widowControl/>
        <w:jc w:val="center"/>
        <w:rPr>
          <w:rFonts w:eastAsia="方正小标宋_GBK"/>
          <w:sz w:val="21"/>
          <w:szCs w:val="21"/>
        </w:rPr>
      </w:pPr>
      <w:r>
        <w:rPr>
          <w:rFonts w:eastAsia="方正小标宋_GBK" w:hint="eastAsia"/>
          <w:sz w:val="21"/>
          <w:szCs w:val="21"/>
        </w:rPr>
        <w:t>有关申报单位应用基础研究项目推荐名额表</w:t>
      </w:r>
    </w:p>
    <w:tbl>
      <w:tblPr>
        <w:tblW w:w="8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7"/>
        <w:gridCol w:w="834"/>
        <w:gridCol w:w="833"/>
        <w:gridCol w:w="2327"/>
        <w:gridCol w:w="945"/>
        <w:gridCol w:w="909"/>
      </w:tblGrid>
      <w:tr w:rsidR="00F2015C">
        <w:trPr>
          <w:trHeight w:val="972"/>
          <w:jc w:val="center"/>
        </w:trPr>
        <w:tc>
          <w:tcPr>
            <w:tcW w:w="2628"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adjustRightInd w:val="0"/>
              <w:snapToGrid w:val="0"/>
              <w:jc w:val="center"/>
              <w:rPr>
                <w:b/>
                <w:color w:val="000000"/>
                <w:kern w:val="0"/>
                <w:sz w:val="21"/>
                <w:szCs w:val="21"/>
              </w:rPr>
            </w:pPr>
            <w:r>
              <w:rPr>
                <w:rFonts w:hint="eastAsia"/>
                <w:b/>
                <w:color w:val="000000"/>
                <w:kern w:val="0"/>
                <w:sz w:val="21"/>
                <w:szCs w:val="21"/>
              </w:rPr>
              <w:t>单位</w:t>
            </w:r>
          </w:p>
        </w:tc>
        <w:tc>
          <w:tcPr>
            <w:tcW w:w="834"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adjustRightInd w:val="0"/>
              <w:snapToGrid w:val="0"/>
              <w:jc w:val="center"/>
              <w:rPr>
                <w:b/>
                <w:color w:val="000000"/>
                <w:kern w:val="0"/>
                <w:sz w:val="21"/>
                <w:szCs w:val="21"/>
              </w:rPr>
            </w:pPr>
            <w:r>
              <w:rPr>
                <w:rFonts w:hint="eastAsia"/>
                <w:b/>
                <w:color w:val="000000"/>
                <w:kern w:val="0"/>
                <w:sz w:val="21"/>
                <w:szCs w:val="21"/>
              </w:rPr>
              <w:t>重点</w:t>
            </w:r>
          </w:p>
          <w:p w:rsidR="00F2015C" w:rsidRDefault="00F2015C">
            <w:pPr>
              <w:widowControl/>
              <w:adjustRightInd w:val="0"/>
              <w:snapToGrid w:val="0"/>
              <w:jc w:val="center"/>
              <w:rPr>
                <w:b/>
                <w:color w:val="000000"/>
                <w:kern w:val="0"/>
                <w:sz w:val="21"/>
                <w:szCs w:val="21"/>
              </w:rPr>
            </w:pPr>
            <w:r>
              <w:rPr>
                <w:rFonts w:hint="eastAsia"/>
                <w:b/>
                <w:color w:val="000000"/>
                <w:kern w:val="0"/>
                <w:sz w:val="21"/>
                <w:szCs w:val="21"/>
              </w:rPr>
              <w:t>项目</w:t>
            </w:r>
          </w:p>
        </w:tc>
        <w:tc>
          <w:tcPr>
            <w:tcW w:w="834"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adjustRightInd w:val="0"/>
              <w:snapToGrid w:val="0"/>
              <w:jc w:val="center"/>
              <w:rPr>
                <w:b/>
                <w:color w:val="000000"/>
                <w:kern w:val="0"/>
                <w:sz w:val="21"/>
                <w:szCs w:val="21"/>
              </w:rPr>
            </w:pPr>
            <w:r>
              <w:rPr>
                <w:rFonts w:hint="eastAsia"/>
                <w:b/>
                <w:color w:val="000000"/>
                <w:kern w:val="0"/>
                <w:sz w:val="21"/>
                <w:szCs w:val="21"/>
              </w:rPr>
              <w:t>面上</w:t>
            </w:r>
          </w:p>
          <w:p w:rsidR="00F2015C" w:rsidRDefault="00F2015C">
            <w:pPr>
              <w:widowControl/>
              <w:adjustRightInd w:val="0"/>
              <w:snapToGrid w:val="0"/>
              <w:jc w:val="center"/>
              <w:rPr>
                <w:b/>
                <w:color w:val="000000"/>
                <w:kern w:val="0"/>
                <w:sz w:val="21"/>
                <w:szCs w:val="21"/>
              </w:rPr>
            </w:pPr>
            <w:r>
              <w:rPr>
                <w:rFonts w:hint="eastAsia"/>
                <w:b/>
                <w:color w:val="000000"/>
                <w:kern w:val="0"/>
                <w:sz w:val="21"/>
                <w:szCs w:val="21"/>
              </w:rPr>
              <w:t>项目</w:t>
            </w:r>
          </w:p>
        </w:tc>
        <w:tc>
          <w:tcPr>
            <w:tcW w:w="2329"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adjustRightInd w:val="0"/>
              <w:snapToGrid w:val="0"/>
              <w:jc w:val="center"/>
              <w:rPr>
                <w:b/>
                <w:color w:val="000000"/>
                <w:kern w:val="0"/>
                <w:sz w:val="21"/>
                <w:szCs w:val="21"/>
              </w:rPr>
            </w:pPr>
            <w:r>
              <w:rPr>
                <w:rFonts w:hint="eastAsia"/>
                <w:b/>
                <w:color w:val="000000"/>
                <w:kern w:val="0"/>
                <w:sz w:val="21"/>
                <w:szCs w:val="21"/>
              </w:rPr>
              <w:t>单位</w:t>
            </w:r>
          </w:p>
        </w:tc>
        <w:tc>
          <w:tcPr>
            <w:tcW w:w="946"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adjustRightInd w:val="0"/>
              <w:snapToGrid w:val="0"/>
              <w:jc w:val="center"/>
              <w:rPr>
                <w:b/>
                <w:color w:val="000000"/>
                <w:kern w:val="0"/>
                <w:sz w:val="21"/>
                <w:szCs w:val="21"/>
              </w:rPr>
            </w:pPr>
            <w:r>
              <w:rPr>
                <w:rFonts w:hint="eastAsia"/>
                <w:b/>
                <w:color w:val="000000"/>
                <w:kern w:val="0"/>
                <w:sz w:val="21"/>
                <w:szCs w:val="21"/>
              </w:rPr>
              <w:t>重点</w:t>
            </w:r>
          </w:p>
          <w:p w:rsidR="00F2015C" w:rsidRDefault="00F2015C">
            <w:pPr>
              <w:widowControl/>
              <w:adjustRightInd w:val="0"/>
              <w:snapToGrid w:val="0"/>
              <w:jc w:val="center"/>
              <w:rPr>
                <w:b/>
                <w:color w:val="000000"/>
                <w:kern w:val="0"/>
                <w:sz w:val="21"/>
                <w:szCs w:val="21"/>
              </w:rPr>
            </w:pPr>
            <w:r>
              <w:rPr>
                <w:rFonts w:hint="eastAsia"/>
                <w:b/>
                <w:color w:val="000000"/>
                <w:kern w:val="0"/>
                <w:sz w:val="21"/>
                <w:szCs w:val="21"/>
              </w:rPr>
              <w:t>项目</w:t>
            </w:r>
          </w:p>
        </w:tc>
        <w:tc>
          <w:tcPr>
            <w:tcW w:w="910"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adjustRightInd w:val="0"/>
              <w:snapToGrid w:val="0"/>
              <w:jc w:val="center"/>
              <w:rPr>
                <w:b/>
                <w:color w:val="000000"/>
                <w:kern w:val="0"/>
                <w:sz w:val="21"/>
                <w:szCs w:val="21"/>
              </w:rPr>
            </w:pPr>
            <w:r>
              <w:rPr>
                <w:rFonts w:hint="eastAsia"/>
                <w:b/>
                <w:color w:val="000000"/>
                <w:kern w:val="0"/>
                <w:sz w:val="21"/>
                <w:szCs w:val="21"/>
              </w:rPr>
              <w:t>面上</w:t>
            </w:r>
          </w:p>
          <w:p w:rsidR="00F2015C" w:rsidRDefault="00F2015C">
            <w:pPr>
              <w:widowControl/>
              <w:adjustRightInd w:val="0"/>
              <w:snapToGrid w:val="0"/>
              <w:jc w:val="center"/>
              <w:rPr>
                <w:b/>
                <w:color w:val="000000"/>
                <w:kern w:val="0"/>
                <w:sz w:val="21"/>
                <w:szCs w:val="21"/>
              </w:rPr>
            </w:pPr>
            <w:r>
              <w:rPr>
                <w:rFonts w:hint="eastAsia"/>
                <w:b/>
                <w:color w:val="000000"/>
                <w:kern w:val="0"/>
                <w:sz w:val="21"/>
                <w:szCs w:val="21"/>
              </w:rPr>
              <w:t>项目</w:t>
            </w:r>
          </w:p>
        </w:tc>
      </w:tr>
      <w:tr w:rsidR="00F2015C">
        <w:trPr>
          <w:trHeight w:val="581"/>
          <w:jc w:val="center"/>
        </w:trPr>
        <w:tc>
          <w:tcPr>
            <w:tcW w:w="2628"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left"/>
              <w:rPr>
                <w:color w:val="000000"/>
                <w:kern w:val="0"/>
                <w:sz w:val="21"/>
                <w:szCs w:val="21"/>
              </w:rPr>
            </w:pPr>
            <w:r>
              <w:rPr>
                <w:rFonts w:hint="eastAsia"/>
                <w:color w:val="000000"/>
                <w:kern w:val="0"/>
                <w:sz w:val="21"/>
                <w:szCs w:val="21"/>
              </w:rPr>
              <w:t>四川大学</w:t>
            </w:r>
          </w:p>
        </w:tc>
        <w:tc>
          <w:tcPr>
            <w:tcW w:w="834"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center"/>
              <w:rPr>
                <w:color w:val="000000"/>
                <w:kern w:val="0"/>
                <w:sz w:val="21"/>
                <w:szCs w:val="21"/>
              </w:rPr>
            </w:pPr>
            <w:r>
              <w:rPr>
                <w:color w:val="000000"/>
                <w:kern w:val="0"/>
                <w:sz w:val="21"/>
                <w:szCs w:val="21"/>
              </w:rPr>
              <w:t>25</w:t>
            </w:r>
          </w:p>
        </w:tc>
        <w:tc>
          <w:tcPr>
            <w:tcW w:w="834"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center"/>
              <w:rPr>
                <w:color w:val="000000"/>
                <w:kern w:val="0"/>
                <w:sz w:val="21"/>
                <w:szCs w:val="21"/>
              </w:rPr>
            </w:pPr>
            <w:r>
              <w:rPr>
                <w:color w:val="000000"/>
                <w:kern w:val="0"/>
                <w:sz w:val="21"/>
                <w:szCs w:val="21"/>
              </w:rPr>
              <w:t>70</w:t>
            </w:r>
          </w:p>
        </w:tc>
        <w:tc>
          <w:tcPr>
            <w:tcW w:w="2329"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left"/>
              <w:rPr>
                <w:color w:val="000000"/>
                <w:kern w:val="0"/>
                <w:sz w:val="21"/>
                <w:szCs w:val="21"/>
              </w:rPr>
            </w:pPr>
            <w:r>
              <w:rPr>
                <w:rFonts w:hint="eastAsia"/>
                <w:color w:val="000000"/>
                <w:kern w:val="0"/>
                <w:sz w:val="21"/>
                <w:szCs w:val="21"/>
              </w:rPr>
              <w:t>四川理工学院</w:t>
            </w:r>
          </w:p>
        </w:tc>
        <w:tc>
          <w:tcPr>
            <w:tcW w:w="946"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center"/>
              <w:rPr>
                <w:color w:val="000000"/>
                <w:kern w:val="0"/>
                <w:sz w:val="21"/>
                <w:szCs w:val="21"/>
              </w:rPr>
            </w:pPr>
            <w:r>
              <w:rPr>
                <w:color w:val="000000"/>
                <w:kern w:val="0"/>
                <w:sz w:val="21"/>
                <w:szCs w:val="21"/>
              </w:rPr>
              <w:t>5</w:t>
            </w:r>
          </w:p>
        </w:tc>
        <w:tc>
          <w:tcPr>
            <w:tcW w:w="910"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center"/>
              <w:rPr>
                <w:color w:val="000000"/>
                <w:kern w:val="0"/>
                <w:sz w:val="21"/>
                <w:szCs w:val="21"/>
              </w:rPr>
            </w:pPr>
            <w:r>
              <w:rPr>
                <w:color w:val="000000"/>
                <w:kern w:val="0"/>
                <w:sz w:val="21"/>
                <w:szCs w:val="21"/>
              </w:rPr>
              <w:t>20</w:t>
            </w:r>
          </w:p>
        </w:tc>
      </w:tr>
      <w:tr w:rsidR="00F2015C">
        <w:trPr>
          <w:trHeight w:val="550"/>
          <w:jc w:val="center"/>
        </w:trPr>
        <w:tc>
          <w:tcPr>
            <w:tcW w:w="2628"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left"/>
              <w:rPr>
                <w:color w:val="000000"/>
                <w:kern w:val="0"/>
                <w:sz w:val="21"/>
                <w:szCs w:val="21"/>
              </w:rPr>
            </w:pPr>
            <w:r>
              <w:rPr>
                <w:rFonts w:hint="eastAsia"/>
                <w:color w:val="000000"/>
                <w:kern w:val="0"/>
                <w:sz w:val="21"/>
                <w:szCs w:val="21"/>
              </w:rPr>
              <w:t>西南交通大学</w:t>
            </w:r>
          </w:p>
        </w:tc>
        <w:tc>
          <w:tcPr>
            <w:tcW w:w="834"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center"/>
              <w:rPr>
                <w:color w:val="000000"/>
                <w:kern w:val="0"/>
                <w:sz w:val="21"/>
                <w:szCs w:val="21"/>
              </w:rPr>
            </w:pPr>
            <w:r>
              <w:rPr>
                <w:color w:val="000000"/>
                <w:kern w:val="0"/>
                <w:sz w:val="21"/>
                <w:szCs w:val="21"/>
              </w:rPr>
              <w:t>10</w:t>
            </w:r>
          </w:p>
        </w:tc>
        <w:tc>
          <w:tcPr>
            <w:tcW w:w="834"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center"/>
              <w:rPr>
                <w:color w:val="000000"/>
                <w:kern w:val="0"/>
                <w:sz w:val="21"/>
                <w:szCs w:val="21"/>
              </w:rPr>
            </w:pPr>
            <w:r>
              <w:rPr>
                <w:color w:val="000000"/>
                <w:kern w:val="0"/>
                <w:sz w:val="21"/>
                <w:szCs w:val="21"/>
              </w:rPr>
              <w:t>30</w:t>
            </w:r>
          </w:p>
        </w:tc>
        <w:tc>
          <w:tcPr>
            <w:tcW w:w="2329"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left"/>
              <w:rPr>
                <w:color w:val="000000"/>
                <w:kern w:val="0"/>
                <w:sz w:val="21"/>
                <w:szCs w:val="21"/>
              </w:rPr>
            </w:pPr>
            <w:r>
              <w:rPr>
                <w:rFonts w:hint="eastAsia"/>
                <w:color w:val="000000"/>
                <w:kern w:val="0"/>
                <w:sz w:val="21"/>
                <w:szCs w:val="21"/>
              </w:rPr>
              <w:t>成都学院</w:t>
            </w:r>
          </w:p>
        </w:tc>
        <w:tc>
          <w:tcPr>
            <w:tcW w:w="946"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center"/>
              <w:rPr>
                <w:color w:val="000000"/>
                <w:kern w:val="0"/>
                <w:sz w:val="21"/>
                <w:szCs w:val="21"/>
              </w:rPr>
            </w:pPr>
            <w:r>
              <w:rPr>
                <w:color w:val="000000"/>
                <w:kern w:val="0"/>
                <w:sz w:val="21"/>
                <w:szCs w:val="21"/>
              </w:rPr>
              <w:t>5</w:t>
            </w:r>
          </w:p>
        </w:tc>
        <w:tc>
          <w:tcPr>
            <w:tcW w:w="910"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center"/>
              <w:rPr>
                <w:color w:val="000000"/>
                <w:kern w:val="0"/>
                <w:sz w:val="21"/>
                <w:szCs w:val="21"/>
              </w:rPr>
            </w:pPr>
            <w:r>
              <w:rPr>
                <w:color w:val="000000"/>
                <w:kern w:val="0"/>
                <w:sz w:val="21"/>
                <w:szCs w:val="21"/>
              </w:rPr>
              <w:t>20</w:t>
            </w:r>
          </w:p>
        </w:tc>
      </w:tr>
      <w:tr w:rsidR="00F2015C">
        <w:trPr>
          <w:trHeight w:val="556"/>
          <w:jc w:val="center"/>
        </w:trPr>
        <w:tc>
          <w:tcPr>
            <w:tcW w:w="2628"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left"/>
              <w:rPr>
                <w:color w:val="000000"/>
                <w:kern w:val="0"/>
                <w:sz w:val="21"/>
                <w:szCs w:val="21"/>
              </w:rPr>
            </w:pPr>
            <w:r>
              <w:rPr>
                <w:rFonts w:hint="eastAsia"/>
                <w:color w:val="000000"/>
                <w:kern w:val="0"/>
                <w:sz w:val="21"/>
                <w:szCs w:val="21"/>
              </w:rPr>
              <w:t>电子科技大学</w:t>
            </w:r>
          </w:p>
        </w:tc>
        <w:tc>
          <w:tcPr>
            <w:tcW w:w="834"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center"/>
              <w:rPr>
                <w:color w:val="000000"/>
                <w:kern w:val="0"/>
                <w:sz w:val="21"/>
                <w:szCs w:val="21"/>
              </w:rPr>
            </w:pPr>
            <w:r>
              <w:rPr>
                <w:color w:val="000000"/>
                <w:kern w:val="0"/>
                <w:sz w:val="21"/>
                <w:szCs w:val="21"/>
              </w:rPr>
              <w:t>10</w:t>
            </w:r>
          </w:p>
        </w:tc>
        <w:tc>
          <w:tcPr>
            <w:tcW w:w="834"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center"/>
              <w:rPr>
                <w:color w:val="000000"/>
                <w:kern w:val="0"/>
                <w:sz w:val="21"/>
                <w:szCs w:val="21"/>
              </w:rPr>
            </w:pPr>
            <w:r>
              <w:rPr>
                <w:color w:val="000000"/>
                <w:kern w:val="0"/>
                <w:sz w:val="21"/>
                <w:szCs w:val="21"/>
              </w:rPr>
              <w:t>30</w:t>
            </w:r>
          </w:p>
        </w:tc>
        <w:tc>
          <w:tcPr>
            <w:tcW w:w="2329"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left"/>
              <w:rPr>
                <w:color w:val="000000"/>
                <w:kern w:val="0"/>
                <w:sz w:val="21"/>
                <w:szCs w:val="21"/>
              </w:rPr>
            </w:pPr>
            <w:r>
              <w:rPr>
                <w:rFonts w:hint="eastAsia"/>
                <w:color w:val="000000"/>
                <w:kern w:val="0"/>
                <w:sz w:val="21"/>
                <w:szCs w:val="21"/>
              </w:rPr>
              <w:t>西昌学院</w:t>
            </w:r>
          </w:p>
        </w:tc>
        <w:tc>
          <w:tcPr>
            <w:tcW w:w="946"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center"/>
              <w:rPr>
                <w:color w:val="000000"/>
                <w:kern w:val="0"/>
                <w:sz w:val="21"/>
                <w:szCs w:val="21"/>
              </w:rPr>
            </w:pPr>
            <w:r>
              <w:rPr>
                <w:color w:val="000000"/>
                <w:kern w:val="0"/>
                <w:sz w:val="21"/>
                <w:szCs w:val="21"/>
              </w:rPr>
              <w:t>3</w:t>
            </w:r>
          </w:p>
        </w:tc>
        <w:tc>
          <w:tcPr>
            <w:tcW w:w="910"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center"/>
              <w:rPr>
                <w:color w:val="000000"/>
                <w:kern w:val="0"/>
                <w:sz w:val="21"/>
                <w:szCs w:val="21"/>
              </w:rPr>
            </w:pPr>
            <w:r>
              <w:rPr>
                <w:color w:val="000000"/>
                <w:kern w:val="0"/>
                <w:sz w:val="21"/>
                <w:szCs w:val="21"/>
              </w:rPr>
              <w:t>10</w:t>
            </w:r>
          </w:p>
        </w:tc>
      </w:tr>
      <w:tr w:rsidR="00F2015C">
        <w:trPr>
          <w:trHeight w:val="556"/>
          <w:jc w:val="center"/>
        </w:trPr>
        <w:tc>
          <w:tcPr>
            <w:tcW w:w="2628"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left"/>
              <w:rPr>
                <w:color w:val="000000"/>
                <w:kern w:val="0"/>
                <w:sz w:val="21"/>
                <w:szCs w:val="21"/>
              </w:rPr>
            </w:pPr>
            <w:r>
              <w:rPr>
                <w:rFonts w:hint="eastAsia"/>
                <w:color w:val="000000"/>
                <w:kern w:val="0"/>
                <w:sz w:val="21"/>
                <w:szCs w:val="21"/>
              </w:rPr>
              <w:t>西南民族大学</w:t>
            </w:r>
          </w:p>
        </w:tc>
        <w:tc>
          <w:tcPr>
            <w:tcW w:w="834"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center"/>
              <w:rPr>
                <w:color w:val="000000"/>
                <w:kern w:val="0"/>
                <w:sz w:val="21"/>
                <w:szCs w:val="21"/>
              </w:rPr>
            </w:pPr>
            <w:r>
              <w:rPr>
                <w:color w:val="000000"/>
                <w:kern w:val="0"/>
                <w:sz w:val="21"/>
                <w:szCs w:val="21"/>
              </w:rPr>
              <w:t>5</w:t>
            </w:r>
          </w:p>
        </w:tc>
        <w:tc>
          <w:tcPr>
            <w:tcW w:w="834"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center"/>
              <w:rPr>
                <w:color w:val="000000"/>
                <w:kern w:val="0"/>
                <w:sz w:val="21"/>
                <w:szCs w:val="21"/>
              </w:rPr>
            </w:pPr>
            <w:r>
              <w:rPr>
                <w:color w:val="000000"/>
                <w:kern w:val="0"/>
                <w:sz w:val="21"/>
                <w:szCs w:val="21"/>
              </w:rPr>
              <w:t>20</w:t>
            </w:r>
          </w:p>
        </w:tc>
        <w:tc>
          <w:tcPr>
            <w:tcW w:w="2329"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left"/>
              <w:rPr>
                <w:color w:val="000000"/>
                <w:kern w:val="0"/>
                <w:sz w:val="21"/>
                <w:szCs w:val="21"/>
              </w:rPr>
            </w:pPr>
            <w:r>
              <w:rPr>
                <w:rFonts w:hint="eastAsia"/>
                <w:color w:val="000000"/>
                <w:kern w:val="0"/>
                <w:sz w:val="21"/>
                <w:szCs w:val="21"/>
              </w:rPr>
              <w:t>成都医学院</w:t>
            </w:r>
          </w:p>
        </w:tc>
        <w:tc>
          <w:tcPr>
            <w:tcW w:w="946"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center"/>
              <w:rPr>
                <w:color w:val="000000"/>
                <w:kern w:val="0"/>
                <w:sz w:val="21"/>
                <w:szCs w:val="21"/>
              </w:rPr>
            </w:pPr>
            <w:r>
              <w:rPr>
                <w:color w:val="000000"/>
                <w:kern w:val="0"/>
                <w:sz w:val="21"/>
                <w:szCs w:val="21"/>
              </w:rPr>
              <w:t>3</w:t>
            </w:r>
          </w:p>
        </w:tc>
        <w:tc>
          <w:tcPr>
            <w:tcW w:w="910"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center"/>
              <w:rPr>
                <w:color w:val="000000"/>
                <w:kern w:val="0"/>
                <w:sz w:val="21"/>
                <w:szCs w:val="21"/>
              </w:rPr>
            </w:pPr>
            <w:r>
              <w:rPr>
                <w:color w:val="000000"/>
                <w:kern w:val="0"/>
                <w:sz w:val="21"/>
                <w:szCs w:val="21"/>
              </w:rPr>
              <w:t>10</w:t>
            </w:r>
          </w:p>
        </w:tc>
      </w:tr>
      <w:tr w:rsidR="00F2015C">
        <w:trPr>
          <w:trHeight w:val="556"/>
          <w:jc w:val="center"/>
        </w:trPr>
        <w:tc>
          <w:tcPr>
            <w:tcW w:w="2628"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left"/>
              <w:rPr>
                <w:color w:val="000000"/>
                <w:kern w:val="0"/>
                <w:sz w:val="21"/>
                <w:szCs w:val="21"/>
              </w:rPr>
            </w:pPr>
            <w:r>
              <w:rPr>
                <w:rFonts w:hint="eastAsia"/>
                <w:color w:val="000000"/>
                <w:kern w:val="0"/>
                <w:sz w:val="21"/>
                <w:szCs w:val="21"/>
              </w:rPr>
              <w:t>四川农业大学</w:t>
            </w:r>
          </w:p>
        </w:tc>
        <w:tc>
          <w:tcPr>
            <w:tcW w:w="834"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center"/>
              <w:rPr>
                <w:color w:val="000000"/>
                <w:kern w:val="0"/>
                <w:sz w:val="21"/>
                <w:szCs w:val="21"/>
              </w:rPr>
            </w:pPr>
            <w:r>
              <w:rPr>
                <w:color w:val="000000"/>
                <w:kern w:val="0"/>
                <w:sz w:val="21"/>
                <w:szCs w:val="21"/>
              </w:rPr>
              <w:t>5</w:t>
            </w:r>
          </w:p>
        </w:tc>
        <w:tc>
          <w:tcPr>
            <w:tcW w:w="834"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center"/>
              <w:rPr>
                <w:color w:val="000000"/>
                <w:kern w:val="0"/>
                <w:sz w:val="21"/>
                <w:szCs w:val="21"/>
              </w:rPr>
            </w:pPr>
            <w:r>
              <w:rPr>
                <w:color w:val="000000"/>
                <w:kern w:val="0"/>
                <w:sz w:val="21"/>
                <w:szCs w:val="21"/>
              </w:rPr>
              <w:t>20</w:t>
            </w:r>
          </w:p>
        </w:tc>
        <w:tc>
          <w:tcPr>
            <w:tcW w:w="2329"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left"/>
              <w:rPr>
                <w:color w:val="000000"/>
                <w:kern w:val="0"/>
                <w:sz w:val="21"/>
                <w:szCs w:val="21"/>
              </w:rPr>
            </w:pPr>
            <w:r>
              <w:rPr>
                <w:rFonts w:hint="eastAsia"/>
                <w:color w:val="000000"/>
                <w:kern w:val="0"/>
                <w:sz w:val="21"/>
                <w:szCs w:val="21"/>
              </w:rPr>
              <w:t>乐山师范学院</w:t>
            </w:r>
          </w:p>
        </w:tc>
        <w:tc>
          <w:tcPr>
            <w:tcW w:w="946"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center"/>
              <w:rPr>
                <w:color w:val="000000"/>
                <w:kern w:val="0"/>
                <w:sz w:val="21"/>
                <w:szCs w:val="21"/>
              </w:rPr>
            </w:pPr>
            <w:r>
              <w:rPr>
                <w:color w:val="000000"/>
                <w:kern w:val="0"/>
                <w:sz w:val="21"/>
                <w:szCs w:val="21"/>
              </w:rPr>
              <w:t>3</w:t>
            </w:r>
          </w:p>
        </w:tc>
        <w:tc>
          <w:tcPr>
            <w:tcW w:w="910"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center"/>
              <w:rPr>
                <w:color w:val="000000"/>
                <w:kern w:val="0"/>
                <w:sz w:val="21"/>
                <w:szCs w:val="21"/>
              </w:rPr>
            </w:pPr>
            <w:r>
              <w:rPr>
                <w:color w:val="000000"/>
                <w:kern w:val="0"/>
                <w:sz w:val="21"/>
                <w:szCs w:val="21"/>
              </w:rPr>
              <w:t>10</w:t>
            </w:r>
          </w:p>
        </w:tc>
      </w:tr>
      <w:tr w:rsidR="00F2015C">
        <w:trPr>
          <w:trHeight w:val="556"/>
          <w:jc w:val="center"/>
        </w:trPr>
        <w:tc>
          <w:tcPr>
            <w:tcW w:w="2628"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left"/>
              <w:rPr>
                <w:color w:val="000000"/>
                <w:kern w:val="0"/>
                <w:sz w:val="21"/>
                <w:szCs w:val="21"/>
              </w:rPr>
            </w:pPr>
            <w:r>
              <w:rPr>
                <w:rFonts w:hint="eastAsia"/>
                <w:color w:val="000000"/>
                <w:kern w:val="0"/>
                <w:sz w:val="21"/>
                <w:szCs w:val="21"/>
              </w:rPr>
              <w:t>四川师范大学</w:t>
            </w:r>
          </w:p>
        </w:tc>
        <w:tc>
          <w:tcPr>
            <w:tcW w:w="834"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center"/>
              <w:rPr>
                <w:color w:val="000000"/>
                <w:kern w:val="0"/>
                <w:sz w:val="21"/>
                <w:szCs w:val="21"/>
              </w:rPr>
            </w:pPr>
            <w:r>
              <w:rPr>
                <w:color w:val="000000"/>
                <w:kern w:val="0"/>
                <w:sz w:val="21"/>
                <w:szCs w:val="21"/>
              </w:rPr>
              <w:t>5</w:t>
            </w:r>
          </w:p>
        </w:tc>
        <w:tc>
          <w:tcPr>
            <w:tcW w:w="834"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center"/>
              <w:rPr>
                <w:color w:val="000000"/>
                <w:kern w:val="0"/>
                <w:sz w:val="21"/>
                <w:szCs w:val="21"/>
              </w:rPr>
            </w:pPr>
            <w:r>
              <w:rPr>
                <w:color w:val="000000"/>
                <w:kern w:val="0"/>
                <w:sz w:val="21"/>
                <w:szCs w:val="21"/>
              </w:rPr>
              <w:t>20</w:t>
            </w:r>
          </w:p>
        </w:tc>
        <w:tc>
          <w:tcPr>
            <w:tcW w:w="2329"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left"/>
              <w:rPr>
                <w:color w:val="000000"/>
                <w:kern w:val="0"/>
                <w:sz w:val="21"/>
                <w:szCs w:val="21"/>
              </w:rPr>
            </w:pPr>
            <w:r>
              <w:rPr>
                <w:rFonts w:hint="eastAsia"/>
                <w:color w:val="000000"/>
                <w:kern w:val="0"/>
                <w:sz w:val="21"/>
                <w:szCs w:val="21"/>
              </w:rPr>
              <w:t>内江师范学院</w:t>
            </w:r>
          </w:p>
        </w:tc>
        <w:tc>
          <w:tcPr>
            <w:tcW w:w="946"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center"/>
              <w:rPr>
                <w:color w:val="000000"/>
                <w:kern w:val="0"/>
                <w:sz w:val="21"/>
                <w:szCs w:val="21"/>
              </w:rPr>
            </w:pPr>
            <w:r>
              <w:rPr>
                <w:color w:val="000000"/>
                <w:kern w:val="0"/>
                <w:sz w:val="21"/>
                <w:szCs w:val="21"/>
              </w:rPr>
              <w:t>3</w:t>
            </w:r>
          </w:p>
        </w:tc>
        <w:tc>
          <w:tcPr>
            <w:tcW w:w="910"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center"/>
              <w:rPr>
                <w:color w:val="000000"/>
                <w:kern w:val="0"/>
                <w:sz w:val="21"/>
                <w:szCs w:val="21"/>
              </w:rPr>
            </w:pPr>
            <w:r>
              <w:rPr>
                <w:color w:val="000000"/>
                <w:kern w:val="0"/>
                <w:sz w:val="21"/>
                <w:szCs w:val="21"/>
              </w:rPr>
              <w:t>10</w:t>
            </w:r>
          </w:p>
        </w:tc>
      </w:tr>
      <w:tr w:rsidR="00F2015C">
        <w:trPr>
          <w:trHeight w:val="556"/>
          <w:jc w:val="center"/>
        </w:trPr>
        <w:tc>
          <w:tcPr>
            <w:tcW w:w="2628"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left"/>
              <w:rPr>
                <w:color w:val="000000"/>
                <w:kern w:val="0"/>
                <w:sz w:val="21"/>
                <w:szCs w:val="21"/>
              </w:rPr>
            </w:pPr>
            <w:r>
              <w:rPr>
                <w:rFonts w:hint="eastAsia"/>
                <w:color w:val="000000"/>
                <w:kern w:val="0"/>
                <w:sz w:val="21"/>
                <w:szCs w:val="21"/>
              </w:rPr>
              <w:t>西南石油大学</w:t>
            </w:r>
          </w:p>
        </w:tc>
        <w:tc>
          <w:tcPr>
            <w:tcW w:w="834"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center"/>
              <w:rPr>
                <w:color w:val="000000"/>
                <w:kern w:val="0"/>
                <w:sz w:val="21"/>
                <w:szCs w:val="21"/>
              </w:rPr>
            </w:pPr>
            <w:r>
              <w:rPr>
                <w:color w:val="000000"/>
                <w:kern w:val="0"/>
                <w:sz w:val="21"/>
                <w:szCs w:val="21"/>
              </w:rPr>
              <w:t>5</w:t>
            </w:r>
          </w:p>
        </w:tc>
        <w:tc>
          <w:tcPr>
            <w:tcW w:w="834"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center"/>
              <w:rPr>
                <w:color w:val="000000"/>
                <w:kern w:val="0"/>
                <w:sz w:val="21"/>
                <w:szCs w:val="21"/>
              </w:rPr>
            </w:pPr>
            <w:r>
              <w:rPr>
                <w:color w:val="000000"/>
                <w:kern w:val="0"/>
                <w:sz w:val="21"/>
                <w:szCs w:val="21"/>
              </w:rPr>
              <w:t>20</w:t>
            </w:r>
          </w:p>
        </w:tc>
        <w:tc>
          <w:tcPr>
            <w:tcW w:w="2329"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adjustRightInd w:val="0"/>
              <w:snapToGrid w:val="0"/>
              <w:jc w:val="left"/>
              <w:rPr>
                <w:kern w:val="0"/>
                <w:sz w:val="21"/>
                <w:szCs w:val="21"/>
              </w:rPr>
            </w:pPr>
            <w:r>
              <w:rPr>
                <w:rFonts w:hint="eastAsia"/>
                <w:color w:val="000000"/>
                <w:kern w:val="0"/>
                <w:sz w:val="21"/>
                <w:szCs w:val="21"/>
              </w:rPr>
              <w:t>成都体育学院</w:t>
            </w:r>
          </w:p>
        </w:tc>
        <w:tc>
          <w:tcPr>
            <w:tcW w:w="946"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center"/>
              <w:rPr>
                <w:color w:val="000000"/>
                <w:kern w:val="0"/>
                <w:sz w:val="21"/>
                <w:szCs w:val="21"/>
              </w:rPr>
            </w:pPr>
            <w:r>
              <w:rPr>
                <w:color w:val="000000"/>
                <w:kern w:val="0"/>
                <w:sz w:val="21"/>
                <w:szCs w:val="21"/>
              </w:rPr>
              <w:t>3</w:t>
            </w:r>
          </w:p>
        </w:tc>
        <w:tc>
          <w:tcPr>
            <w:tcW w:w="910"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center"/>
              <w:rPr>
                <w:color w:val="000000"/>
                <w:kern w:val="0"/>
                <w:sz w:val="21"/>
                <w:szCs w:val="21"/>
              </w:rPr>
            </w:pPr>
            <w:r>
              <w:rPr>
                <w:color w:val="000000"/>
                <w:kern w:val="0"/>
                <w:sz w:val="21"/>
                <w:szCs w:val="21"/>
              </w:rPr>
              <w:t>10</w:t>
            </w:r>
          </w:p>
        </w:tc>
      </w:tr>
      <w:tr w:rsidR="00F2015C">
        <w:trPr>
          <w:trHeight w:val="556"/>
          <w:jc w:val="center"/>
        </w:trPr>
        <w:tc>
          <w:tcPr>
            <w:tcW w:w="2628"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left"/>
              <w:rPr>
                <w:color w:val="000000"/>
                <w:kern w:val="0"/>
                <w:sz w:val="21"/>
                <w:szCs w:val="21"/>
              </w:rPr>
            </w:pPr>
            <w:r>
              <w:rPr>
                <w:rFonts w:hint="eastAsia"/>
                <w:color w:val="000000"/>
                <w:kern w:val="0"/>
                <w:sz w:val="21"/>
                <w:szCs w:val="21"/>
              </w:rPr>
              <w:t>成都理工大学</w:t>
            </w:r>
          </w:p>
        </w:tc>
        <w:tc>
          <w:tcPr>
            <w:tcW w:w="834"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center"/>
              <w:rPr>
                <w:color w:val="000000"/>
                <w:kern w:val="0"/>
                <w:sz w:val="21"/>
                <w:szCs w:val="21"/>
              </w:rPr>
            </w:pPr>
            <w:r>
              <w:rPr>
                <w:color w:val="000000"/>
                <w:kern w:val="0"/>
                <w:sz w:val="21"/>
                <w:szCs w:val="21"/>
              </w:rPr>
              <w:t>5</w:t>
            </w:r>
          </w:p>
        </w:tc>
        <w:tc>
          <w:tcPr>
            <w:tcW w:w="834"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center"/>
              <w:rPr>
                <w:color w:val="000000"/>
                <w:kern w:val="0"/>
                <w:sz w:val="21"/>
                <w:szCs w:val="21"/>
              </w:rPr>
            </w:pPr>
            <w:r>
              <w:rPr>
                <w:color w:val="000000"/>
                <w:kern w:val="0"/>
                <w:sz w:val="21"/>
                <w:szCs w:val="21"/>
              </w:rPr>
              <w:t>20</w:t>
            </w:r>
          </w:p>
        </w:tc>
        <w:tc>
          <w:tcPr>
            <w:tcW w:w="2329"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left"/>
              <w:rPr>
                <w:color w:val="000000"/>
                <w:kern w:val="0"/>
                <w:sz w:val="21"/>
                <w:szCs w:val="21"/>
              </w:rPr>
            </w:pPr>
            <w:r>
              <w:rPr>
                <w:rFonts w:hint="eastAsia"/>
                <w:color w:val="000000"/>
                <w:kern w:val="0"/>
                <w:sz w:val="21"/>
                <w:szCs w:val="21"/>
              </w:rPr>
              <w:t>绵阳师范学院</w:t>
            </w:r>
          </w:p>
        </w:tc>
        <w:tc>
          <w:tcPr>
            <w:tcW w:w="946"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center"/>
              <w:rPr>
                <w:color w:val="000000"/>
                <w:kern w:val="0"/>
                <w:sz w:val="21"/>
                <w:szCs w:val="21"/>
              </w:rPr>
            </w:pPr>
            <w:r>
              <w:rPr>
                <w:color w:val="000000"/>
                <w:kern w:val="0"/>
                <w:sz w:val="21"/>
                <w:szCs w:val="21"/>
              </w:rPr>
              <w:t>3</w:t>
            </w:r>
          </w:p>
        </w:tc>
        <w:tc>
          <w:tcPr>
            <w:tcW w:w="910"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center"/>
              <w:rPr>
                <w:color w:val="000000"/>
                <w:kern w:val="0"/>
                <w:sz w:val="21"/>
                <w:szCs w:val="21"/>
              </w:rPr>
            </w:pPr>
            <w:r>
              <w:rPr>
                <w:color w:val="000000"/>
                <w:kern w:val="0"/>
                <w:sz w:val="21"/>
                <w:szCs w:val="21"/>
              </w:rPr>
              <w:t>10</w:t>
            </w:r>
          </w:p>
        </w:tc>
      </w:tr>
      <w:tr w:rsidR="00F2015C">
        <w:trPr>
          <w:trHeight w:val="556"/>
          <w:jc w:val="center"/>
        </w:trPr>
        <w:tc>
          <w:tcPr>
            <w:tcW w:w="2628"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left"/>
              <w:rPr>
                <w:color w:val="000000"/>
                <w:kern w:val="0"/>
                <w:sz w:val="21"/>
                <w:szCs w:val="21"/>
              </w:rPr>
            </w:pPr>
            <w:r>
              <w:rPr>
                <w:rFonts w:hint="eastAsia"/>
                <w:color w:val="000000"/>
                <w:kern w:val="0"/>
                <w:sz w:val="21"/>
                <w:szCs w:val="21"/>
              </w:rPr>
              <w:t>成都中医药大学</w:t>
            </w:r>
          </w:p>
        </w:tc>
        <w:tc>
          <w:tcPr>
            <w:tcW w:w="834"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center"/>
              <w:rPr>
                <w:color w:val="000000"/>
                <w:kern w:val="0"/>
                <w:sz w:val="21"/>
                <w:szCs w:val="21"/>
              </w:rPr>
            </w:pPr>
            <w:r>
              <w:rPr>
                <w:color w:val="000000"/>
                <w:kern w:val="0"/>
                <w:sz w:val="21"/>
                <w:szCs w:val="21"/>
              </w:rPr>
              <w:t>5</w:t>
            </w:r>
          </w:p>
        </w:tc>
        <w:tc>
          <w:tcPr>
            <w:tcW w:w="834"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center"/>
              <w:rPr>
                <w:color w:val="000000"/>
                <w:kern w:val="0"/>
                <w:sz w:val="21"/>
                <w:szCs w:val="21"/>
              </w:rPr>
            </w:pPr>
            <w:r>
              <w:rPr>
                <w:color w:val="000000"/>
                <w:kern w:val="0"/>
                <w:sz w:val="21"/>
                <w:szCs w:val="21"/>
              </w:rPr>
              <w:t>20</w:t>
            </w:r>
          </w:p>
        </w:tc>
        <w:tc>
          <w:tcPr>
            <w:tcW w:w="2329"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left"/>
              <w:rPr>
                <w:color w:val="000000"/>
                <w:kern w:val="0"/>
                <w:sz w:val="21"/>
                <w:szCs w:val="21"/>
              </w:rPr>
            </w:pPr>
            <w:r>
              <w:rPr>
                <w:rFonts w:hint="eastAsia"/>
                <w:color w:val="000000"/>
                <w:kern w:val="0"/>
                <w:sz w:val="21"/>
                <w:szCs w:val="21"/>
              </w:rPr>
              <w:t>宜宾学院</w:t>
            </w:r>
          </w:p>
        </w:tc>
        <w:tc>
          <w:tcPr>
            <w:tcW w:w="946"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center"/>
              <w:rPr>
                <w:color w:val="000000"/>
                <w:kern w:val="0"/>
                <w:sz w:val="21"/>
                <w:szCs w:val="21"/>
              </w:rPr>
            </w:pPr>
            <w:r>
              <w:rPr>
                <w:color w:val="000000"/>
                <w:kern w:val="0"/>
                <w:sz w:val="21"/>
                <w:szCs w:val="21"/>
              </w:rPr>
              <w:t>3</w:t>
            </w:r>
          </w:p>
        </w:tc>
        <w:tc>
          <w:tcPr>
            <w:tcW w:w="910"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center"/>
              <w:rPr>
                <w:color w:val="000000"/>
                <w:kern w:val="0"/>
                <w:sz w:val="21"/>
                <w:szCs w:val="21"/>
              </w:rPr>
            </w:pPr>
            <w:r>
              <w:rPr>
                <w:color w:val="000000"/>
                <w:kern w:val="0"/>
                <w:sz w:val="21"/>
                <w:szCs w:val="21"/>
              </w:rPr>
              <w:t>10</w:t>
            </w:r>
          </w:p>
        </w:tc>
      </w:tr>
      <w:tr w:rsidR="00F2015C">
        <w:trPr>
          <w:trHeight w:val="556"/>
          <w:jc w:val="center"/>
        </w:trPr>
        <w:tc>
          <w:tcPr>
            <w:tcW w:w="2628"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left"/>
              <w:rPr>
                <w:color w:val="000000"/>
                <w:kern w:val="0"/>
                <w:sz w:val="21"/>
                <w:szCs w:val="21"/>
              </w:rPr>
            </w:pPr>
            <w:r>
              <w:rPr>
                <w:rFonts w:hint="eastAsia"/>
                <w:color w:val="000000"/>
                <w:kern w:val="0"/>
                <w:sz w:val="21"/>
                <w:szCs w:val="21"/>
              </w:rPr>
              <w:t>西南科技大学</w:t>
            </w:r>
          </w:p>
        </w:tc>
        <w:tc>
          <w:tcPr>
            <w:tcW w:w="834"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center"/>
              <w:rPr>
                <w:color w:val="000000"/>
                <w:kern w:val="0"/>
                <w:sz w:val="21"/>
                <w:szCs w:val="21"/>
              </w:rPr>
            </w:pPr>
            <w:r>
              <w:rPr>
                <w:color w:val="000000"/>
                <w:kern w:val="0"/>
                <w:sz w:val="21"/>
                <w:szCs w:val="21"/>
              </w:rPr>
              <w:t>5</w:t>
            </w:r>
          </w:p>
        </w:tc>
        <w:tc>
          <w:tcPr>
            <w:tcW w:w="834"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center"/>
              <w:rPr>
                <w:color w:val="000000"/>
                <w:kern w:val="0"/>
                <w:sz w:val="21"/>
                <w:szCs w:val="21"/>
              </w:rPr>
            </w:pPr>
            <w:r>
              <w:rPr>
                <w:color w:val="000000"/>
                <w:kern w:val="0"/>
                <w:sz w:val="21"/>
                <w:szCs w:val="21"/>
              </w:rPr>
              <w:t>20</w:t>
            </w:r>
          </w:p>
        </w:tc>
        <w:tc>
          <w:tcPr>
            <w:tcW w:w="2329"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left"/>
              <w:rPr>
                <w:color w:val="000000"/>
                <w:kern w:val="0"/>
                <w:sz w:val="21"/>
                <w:szCs w:val="21"/>
              </w:rPr>
            </w:pPr>
            <w:r>
              <w:rPr>
                <w:rFonts w:hint="eastAsia"/>
                <w:color w:val="000000"/>
                <w:kern w:val="0"/>
                <w:sz w:val="21"/>
                <w:szCs w:val="21"/>
              </w:rPr>
              <w:t>成都工业学院</w:t>
            </w:r>
          </w:p>
        </w:tc>
        <w:tc>
          <w:tcPr>
            <w:tcW w:w="946"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center"/>
              <w:rPr>
                <w:color w:val="000000"/>
                <w:kern w:val="0"/>
                <w:sz w:val="21"/>
                <w:szCs w:val="21"/>
              </w:rPr>
            </w:pPr>
            <w:r>
              <w:rPr>
                <w:color w:val="000000"/>
                <w:kern w:val="0"/>
                <w:sz w:val="21"/>
                <w:szCs w:val="21"/>
              </w:rPr>
              <w:t>3</w:t>
            </w:r>
          </w:p>
        </w:tc>
        <w:tc>
          <w:tcPr>
            <w:tcW w:w="910"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center"/>
              <w:rPr>
                <w:color w:val="000000"/>
                <w:kern w:val="0"/>
                <w:sz w:val="21"/>
                <w:szCs w:val="21"/>
              </w:rPr>
            </w:pPr>
            <w:r>
              <w:rPr>
                <w:color w:val="000000"/>
                <w:kern w:val="0"/>
                <w:sz w:val="21"/>
                <w:szCs w:val="21"/>
              </w:rPr>
              <w:t>10</w:t>
            </w:r>
          </w:p>
        </w:tc>
      </w:tr>
      <w:tr w:rsidR="00F2015C">
        <w:trPr>
          <w:trHeight w:val="556"/>
          <w:jc w:val="center"/>
        </w:trPr>
        <w:tc>
          <w:tcPr>
            <w:tcW w:w="2628"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left"/>
              <w:rPr>
                <w:color w:val="000000"/>
                <w:kern w:val="0"/>
                <w:sz w:val="21"/>
                <w:szCs w:val="21"/>
              </w:rPr>
            </w:pPr>
            <w:r>
              <w:rPr>
                <w:rFonts w:hint="eastAsia"/>
                <w:color w:val="000000"/>
                <w:kern w:val="0"/>
                <w:sz w:val="21"/>
                <w:szCs w:val="21"/>
              </w:rPr>
              <w:t>西华大学</w:t>
            </w:r>
          </w:p>
        </w:tc>
        <w:tc>
          <w:tcPr>
            <w:tcW w:w="834"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center"/>
              <w:rPr>
                <w:color w:val="000000"/>
                <w:kern w:val="0"/>
                <w:sz w:val="21"/>
                <w:szCs w:val="21"/>
              </w:rPr>
            </w:pPr>
            <w:r>
              <w:rPr>
                <w:color w:val="000000"/>
                <w:kern w:val="0"/>
                <w:sz w:val="21"/>
                <w:szCs w:val="21"/>
              </w:rPr>
              <w:t>5</w:t>
            </w:r>
          </w:p>
        </w:tc>
        <w:tc>
          <w:tcPr>
            <w:tcW w:w="834"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center"/>
              <w:rPr>
                <w:color w:val="000000"/>
                <w:kern w:val="0"/>
                <w:sz w:val="21"/>
                <w:szCs w:val="21"/>
              </w:rPr>
            </w:pPr>
            <w:r>
              <w:rPr>
                <w:color w:val="000000"/>
                <w:kern w:val="0"/>
                <w:sz w:val="21"/>
                <w:szCs w:val="21"/>
              </w:rPr>
              <w:t>20</w:t>
            </w:r>
          </w:p>
        </w:tc>
        <w:tc>
          <w:tcPr>
            <w:tcW w:w="2329"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left"/>
              <w:rPr>
                <w:color w:val="000000"/>
                <w:kern w:val="0"/>
                <w:sz w:val="21"/>
                <w:szCs w:val="21"/>
              </w:rPr>
            </w:pPr>
            <w:r>
              <w:rPr>
                <w:rFonts w:hint="eastAsia"/>
                <w:color w:val="000000"/>
                <w:kern w:val="0"/>
                <w:sz w:val="21"/>
                <w:szCs w:val="21"/>
              </w:rPr>
              <w:t>四川旅游学院</w:t>
            </w:r>
          </w:p>
        </w:tc>
        <w:tc>
          <w:tcPr>
            <w:tcW w:w="946"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center"/>
              <w:rPr>
                <w:color w:val="000000"/>
                <w:kern w:val="0"/>
                <w:sz w:val="21"/>
                <w:szCs w:val="21"/>
              </w:rPr>
            </w:pPr>
            <w:r>
              <w:rPr>
                <w:color w:val="000000"/>
                <w:kern w:val="0"/>
                <w:sz w:val="21"/>
                <w:szCs w:val="21"/>
              </w:rPr>
              <w:t>3</w:t>
            </w:r>
          </w:p>
        </w:tc>
        <w:tc>
          <w:tcPr>
            <w:tcW w:w="910"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center"/>
              <w:rPr>
                <w:color w:val="000000"/>
                <w:kern w:val="0"/>
                <w:sz w:val="21"/>
                <w:szCs w:val="21"/>
              </w:rPr>
            </w:pPr>
            <w:r>
              <w:rPr>
                <w:color w:val="000000"/>
                <w:kern w:val="0"/>
                <w:sz w:val="21"/>
                <w:szCs w:val="21"/>
              </w:rPr>
              <w:t>10</w:t>
            </w:r>
          </w:p>
        </w:tc>
      </w:tr>
      <w:tr w:rsidR="00F2015C">
        <w:trPr>
          <w:trHeight w:val="556"/>
          <w:jc w:val="center"/>
        </w:trPr>
        <w:tc>
          <w:tcPr>
            <w:tcW w:w="2628"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left"/>
              <w:rPr>
                <w:color w:val="000000"/>
                <w:kern w:val="0"/>
                <w:sz w:val="21"/>
                <w:szCs w:val="21"/>
              </w:rPr>
            </w:pPr>
            <w:r>
              <w:rPr>
                <w:rFonts w:hint="eastAsia"/>
                <w:color w:val="000000"/>
                <w:kern w:val="0"/>
                <w:sz w:val="21"/>
                <w:szCs w:val="21"/>
              </w:rPr>
              <w:t>西华师范大学</w:t>
            </w:r>
          </w:p>
        </w:tc>
        <w:tc>
          <w:tcPr>
            <w:tcW w:w="834"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center"/>
              <w:rPr>
                <w:color w:val="000000"/>
                <w:kern w:val="0"/>
                <w:sz w:val="21"/>
                <w:szCs w:val="21"/>
              </w:rPr>
            </w:pPr>
            <w:r>
              <w:rPr>
                <w:color w:val="000000"/>
                <w:kern w:val="0"/>
                <w:sz w:val="21"/>
                <w:szCs w:val="21"/>
              </w:rPr>
              <w:t>5</w:t>
            </w:r>
          </w:p>
        </w:tc>
        <w:tc>
          <w:tcPr>
            <w:tcW w:w="834"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center"/>
              <w:rPr>
                <w:color w:val="000000"/>
                <w:kern w:val="0"/>
                <w:sz w:val="21"/>
                <w:szCs w:val="21"/>
              </w:rPr>
            </w:pPr>
            <w:r>
              <w:rPr>
                <w:color w:val="000000"/>
                <w:kern w:val="0"/>
                <w:sz w:val="21"/>
                <w:szCs w:val="21"/>
              </w:rPr>
              <w:t>20</w:t>
            </w:r>
          </w:p>
        </w:tc>
        <w:tc>
          <w:tcPr>
            <w:tcW w:w="2329"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left"/>
              <w:rPr>
                <w:color w:val="000000"/>
                <w:kern w:val="0"/>
                <w:sz w:val="21"/>
                <w:szCs w:val="21"/>
              </w:rPr>
            </w:pPr>
            <w:r>
              <w:rPr>
                <w:rFonts w:hint="eastAsia"/>
                <w:color w:val="000000"/>
                <w:kern w:val="0"/>
                <w:sz w:val="21"/>
                <w:szCs w:val="21"/>
              </w:rPr>
              <w:t>成都师范学院</w:t>
            </w:r>
          </w:p>
        </w:tc>
        <w:tc>
          <w:tcPr>
            <w:tcW w:w="946"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center"/>
              <w:rPr>
                <w:color w:val="000000"/>
                <w:kern w:val="0"/>
                <w:sz w:val="21"/>
                <w:szCs w:val="21"/>
              </w:rPr>
            </w:pPr>
            <w:r>
              <w:rPr>
                <w:color w:val="000000"/>
                <w:kern w:val="0"/>
                <w:sz w:val="21"/>
                <w:szCs w:val="21"/>
              </w:rPr>
              <w:t>3</w:t>
            </w:r>
          </w:p>
        </w:tc>
        <w:tc>
          <w:tcPr>
            <w:tcW w:w="910"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center"/>
              <w:rPr>
                <w:color w:val="000000"/>
                <w:kern w:val="0"/>
                <w:sz w:val="21"/>
                <w:szCs w:val="21"/>
              </w:rPr>
            </w:pPr>
            <w:r>
              <w:rPr>
                <w:color w:val="000000"/>
                <w:kern w:val="0"/>
                <w:sz w:val="21"/>
                <w:szCs w:val="21"/>
              </w:rPr>
              <w:t>10</w:t>
            </w:r>
          </w:p>
        </w:tc>
      </w:tr>
      <w:tr w:rsidR="00F2015C">
        <w:trPr>
          <w:trHeight w:val="556"/>
          <w:jc w:val="center"/>
        </w:trPr>
        <w:tc>
          <w:tcPr>
            <w:tcW w:w="2628"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left"/>
              <w:rPr>
                <w:color w:val="000000"/>
                <w:kern w:val="0"/>
                <w:sz w:val="21"/>
                <w:szCs w:val="21"/>
              </w:rPr>
            </w:pPr>
            <w:r>
              <w:rPr>
                <w:rFonts w:hint="eastAsia"/>
                <w:color w:val="000000"/>
                <w:kern w:val="0"/>
                <w:sz w:val="21"/>
                <w:szCs w:val="21"/>
              </w:rPr>
              <w:t>西南医科大学</w:t>
            </w:r>
          </w:p>
        </w:tc>
        <w:tc>
          <w:tcPr>
            <w:tcW w:w="834"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center"/>
              <w:rPr>
                <w:color w:val="000000"/>
                <w:kern w:val="0"/>
                <w:sz w:val="21"/>
                <w:szCs w:val="21"/>
              </w:rPr>
            </w:pPr>
            <w:r>
              <w:rPr>
                <w:color w:val="000000"/>
                <w:kern w:val="0"/>
                <w:sz w:val="21"/>
                <w:szCs w:val="21"/>
              </w:rPr>
              <w:t>5</w:t>
            </w:r>
          </w:p>
        </w:tc>
        <w:tc>
          <w:tcPr>
            <w:tcW w:w="834"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center"/>
              <w:rPr>
                <w:color w:val="000000"/>
                <w:kern w:val="0"/>
                <w:sz w:val="21"/>
                <w:szCs w:val="21"/>
              </w:rPr>
            </w:pPr>
            <w:r>
              <w:rPr>
                <w:color w:val="000000"/>
                <w:kern w:val="0"/>
                <w:sz w:val="21"/>
                <w:szCs w:val="21"/>
              </w:rPr>
              <w:t>20</w:t>
            </w:r>
          </w:p>
        </w:tc>
        <w:tc>
          <w:tcPr>
            <w:tcW w:w="2329"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left"/>
              <w:rPr>
                <w:color w:val="000000"/>
                <w:kern w:val="0"/>
                <w:sz w:val="21"/>
                <w:szCs w:val="21"/>
              </w:rPr>
            </w:pPr>
            <w:r>
              <w:rPr>
                <w:rFonts w:hint="eastAsia"/>
                <w:color w:val="000000"/>
                <w:kern w:val="0"/>
                <w:sz w:val="21"/>
                <w:szCs w:val="21"/>
              </w:rPr>
              <w:t>攀枝花学院</w:t>
            </w:r>
          </w:p>
        </w:tc>
        <w:tc>
          <w:tcPr>
            <w:tcW w:w="946"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center"/>
              <w:rPr>
                <w:color w:val="000000"/>
                <w:kern w:val="0"/>
                <w:sz w:val="21"/>
                <w:szCs w:val="21"/>
              </w:rPr>
            </w:pPr>
            <w:r>
              <w:rPr>
                <w:color w:val="000000"/>
                <w:kern w:val="0"/>
                <w:sz w:val="21"/>
                <w:szCs w:val="21"/>
              </w:rPr>
              <w:t>3</w:t>
            </w:r>
          </w:p>
        </w:tc>
        <w:tc>
          <w:tcPr>
            <w:tcW w:w="910"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center"/>
              <w:rPr>
                <w:color w:val="000000"/>
                <w:kern w:val="0"/>
                <w:sz w:val="21"/>
                <w:szCs w:val="21"/>
              </w:rPr>
            </w:pPr>
            <w:r>
              <w:rPr>
                <w:color w:val="000000"/>
                <w:kern w:val="0"/>
                <w:sz w:val="21"/>
                <w:szCs w:val="21"/>
              </w:rPr>
              <w:t>10</w:t>
            </w:r>
          </w:p>
        </w:tc>
      </w:tr>
      <w:tr w:rsidR="00F2015C">
        <w:trPr>
          <w:trHeight w:val="556"/>
          <w:jc w:val="center"/>
        </w:trPr>
        <w:tc>
          <w:tcPr>
            <w:tcW w:w="2628"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left"/>
              <w:rPr>
                <w:color w:val="000000"/>
                <w:kern w:val="0"/>
                <w:sz w:val="21"/>
                <w:szCs w:val="21"/>
              </w:rPr>
            </w:pPr>
            <w:r>
              <w:rPr>
                <w:rFonts w:hint="eastAsia"/>
                <w:color w:val="000000"/>
                <w:kern w:val="0"/>
                <w:sz w:val="21"/>
                <w:szCs w:val="21"/>
              </w:rPr>
              <w:t>成都信息工程大学</w:t>
            </w:r>
          </w:p>
        </w:tc>
        <w:tc>
          <w:tcPr>
            <w:tcW w:w="834"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center"/>
              <w:rPr>
                <w:color w:val="000000"/>
                <w:kern w:val="0"/>
                <w:sz w:val="21"/>
                <w:szCs w:val="21"/>
              </w:rPr>
            </w:pPr>
            <w:r>
              <w:rPr>
                <w:color w:val="000000"/>
                <w:kern w:val="0"/>
                <w:sz w:val="21"/>
                <w:szCs w:val="21"/>
              </w:rPr>
              <w:t>5</w:t>
            </w:r>
          </w:p>
        </w:tc>
        <w:tc>
          <w:tcPr>
            <w:tcW w:w="834"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center"/>
              <w:rPr>
                <w:color w:val="000000"/>
                <w:kern w:val="0"/>
                <w:sz w:val="21"/>
                <w:szCs w:val="21"/>
              </w:rPr>
            </w:pPr>
            <w:r>
              <w:rPr>
                <w:color w:val="000000"/>
                <w:kern w:val="0"/>
                <w:sz w:val="21"/>
                <w:szCs w:val="21"/>
              </w:rPr>
              <w:t>20</w:t>
            </w:r>
          </w:p>
        </w:tc>
        <w:tc>
          <w:tcPr>
            <w:tcW w:w="2329"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left"/>
              <w:rPr>
                <w:color w:val="000000"/>
                <w:kern w:val="0"/>
                <w:sz w:val="21"/>
                <w:szCs w:val="21"/>
              </w:rPr>
            </w:pPr>
            <w:r>
              <w:rPr>
                <w:rFonts w:hint="eastAsia"/>
                <w:color w:val="000000"/>
                <w:kern w:val="0"/>
                <w:sz w:val="21"/>
                <w:szCs w:val="21"/>
              </w:rPr>
              <w:t>四川省人民医院</w:t>
            </w:r>
          </w:p>
        </w:tc>
        <w:tc>
          <w:tcPr>
            <w:tcW w:w="946"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center"/>
              <w:rPr>
                <w:color w:val="000000"/>
                <w:kern w:val="0"/>
                <w:sz w:val="21"/>
                <w:szCs w:val="21"/>
              </w:rPr>
            </w:pPr>
            <w:r>
              <w:rPr>
                <w:color w:val="000000"/>
                <w:kern w:val="0"/>
                <w:sz w:val="21"/>
                <w:szCs w:val="21"/>
              </w:rPr>
              <w:t>3</w:t>
            </w:r>
          </w:p>
        </w:tc>
        <w:tc>
          <w:tcPr>
            <w:tcW w:w="910"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center"/>
              <w:rPr>
                <w:color w:val="000000"/>
                <w:kern w:val="0"/>
                <w:sz w:val="21"/>
                <w:szCs w:val="21"/>
              </w:rPr>
            </w:pPr>
            <w:r>
              <w:rPr>
                <w:color w:val="000000"/>
                <w:kern w:val="0"/>
                <w:sz w:val="21"/>
                <w:szCs w:val="21"/>
              </w:rPr>
              <w:t>10</w:t>
            </w:r>
          </w:p>
        </w:tc>
      </w:tr>
      <w:tr w:rsidR="00F2015C">
        <w:trPr>
          <w:trHeight w:val="556"/>
          <w:jc w:val="center"/>
        </w:trPr>
        <w:tc>
          <w:tcPr>
            <w:tcW w:w="2628"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left"/>
              <w:rPr>
                <w:color w:val="000000"/>
                <w:kern w:val="0"/>
                <w:sz w:val="21"/>
                <w:szCs w:val="21"/>
              </w:rPr>
            </w:pPr>
            <w:r>
              <w:rPr>
                <w:rFonts w:hint="eastAsia"/>
                <w:color w:val="000000"/>
                <w:kern w:val="0"/>
                <w:sz w:val="21"/>
                <w:szCs w:val="21"/>
              </w:rPr>
              <w:t>川北医学院</w:t>
            </w:r>
          </w:p>
        </w:tc>
        <w:tc>
          <w:tcPr>
            <w:tcW w:w="834"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center"/>
              <w:rPr>
                <w:color w:val="000000"/>
                <w:kern w:val="0"/>
                <w:sz w:val="21"/>
                <w:szCs w:val="21"/>
              </w:rPr>
            </w:pPr>
            <w:r>
              <w:rPr>
                <w:color w:val="000000"/>
                <w:kern w:val="0"/>
                <w:sz w:val="21"/>
                <w:szCs w:val="21"/>
              </w:rPr>
              <w:t>5</w:t>
            </w:r>
          </w:p>
        </w:tc>
        <w:tc>
          <w:tcPr>
            <w:tcW w:w="834"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center"/>
              <w:rPr>
                <w:color w:val="000000"/>
                <w:kern w:val="0"/>
                <w:sz w:val="21"/>
                <w:szCs w:val="21"/>
              </w:rPr>
            </w:pPr>
            <w:r>
              <w:rPr>
                <w:color w:val="000000"/>
                <w:kern w:val="0"/>
                <w:sz w:val="21"/>
                <w:szCs w:val="21"/>
              </w:rPr>
              <w:t>20</w:t>
            </w:r>
          </w:p>
        </w:tc>
        <w:tc>
          <w:tcPr>
            <w:tcW w:w="2329"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left"/>
              <w:rPr>
                <w:color w:val="000000"/>
                <w:kern w:val="0"/>
                <w:sz w:val="21"/>
                <w:szCs w:val="21"/>
              </w:rPr>
            </w:pPr>
            <w:r>
              <w:rPr>
                <w:rFonts w:hint="eastAsia"/>
                <w:color w:val="000000"/>
                <w:kern w:val="0"/>
                <w:sz w:val="21"/>
                <w:szCs w:val="21"/>
              </w:rPr>
              <w:t>四川省肿瘤医院</w:t>
            </w:r>
          </w:p>
        </w:tc>
        <w:tc>
          <w:tcPr>
            <w:tcW w:w="946"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center"/>
              <w:rPr>
                <w:color w:val="000000"/>
                <w:kern w:val="0"/>
                <w:sz w:val="21"/>
                <w:szCs w:val="21"/>
              </w:rPr>
            </w:pPr>
            <w:r>
              <w:rPr>
                <w:color w:val="000000"/>
                <w:kern w:val="0"/>
                <w:sz w:val="21"/>
                <w:szCs w:val="21"/>
              </w:rPr>
              <w:t>3</w:t>
            </w:r>
          </w:p>
        </w:tc>
        <w:tc>
          <w:tcPr>
            <w:tcW w:w="910" w:type="dxa"/>
            <w:tcBorders>
              <w:top w:val="single" w:sz="4" w:space="0" w:color="auto"/>
              <w:left w:val="single" w:sz="4" w:space="0" w:color="auto"/>
              <w:bottom w:val="single" w:sz="4" w:space="0" w:color="auto"/>
              <w:right w:val="single" w:sz="4" w:space="0" w:color="auto"/>
            </w:tcBorders>
            <w:vAlign w:val="center"/>
            <w:hideMark/>
          </w:tcPr>
          <w:p w:rsidR="00F2015C" w:rsidRDefault="00F2015C">
            <w:pPr>
              <w:widowControl/>
              <w:jc w:val="center"/>
              <w:rPr>
                <w:color w:val="000000"/>
                <w:kern w:val="0"/>
                <w:sz w:val="21"/>
                <w:szCs w:val="21"/>
              </w:rPr>
            </w:pPr>
            <w:r>
              <w:rPr>
                <w:color w:val="000000"/>
                <w:kern w:val="0"/>
                <w:sz w:val="21"/>
                <w:szCs w:val="21"/>
              </w:rPr>
              <w:t>10</w:t>
            </w:r>
          </w:p>
        </w:tc>
      </w:tr>
    </w:tbl>
    <w:p w:rsidR="00F2015C" w:rsidRDefault="00F2015C" w:rsidP="00F2015C">
      <w:pPr>
        <w:widowControl/>
        <w:adjustRightInd w:val="0"/>
        <w:snapToGrid w:val="0"/>
        <w:spacing w:beforeLines="50" w:before="156"/>
        <w:ind w:firstLineChars="50" w:firstLine="105"/>
        <w:rPr>
          <w:kern w:val="0"/>
          <w:sz w:val="21"/>
          <w:szCs w:val="21"/>
        </w:rPr>
      </w:pPr>
      <w:r>
        <w:rPr>
          <w:rFonts w:hint="eastAsia"/>
          <w:kern w:val="0"/>
          <w:sz w:val="21"/>
          <w:szCs w:val="21"/>
        </w:rPr>
        <w:t>注：</w:t>
      </w:r>
      <w:r>
        <w:rPr>
          <w:kern w:val="0"/>
          <w:sz w:val="21"/>
          <w:szCs w:val="21"/>
        </w:rPr>
        <w:t>1.</w:t>
      </w:r>
      <w:r>
        <w:rPr>
          <w:rFonts w:hint="eastAsia"/>
          <w:kern w:val="0"/>
          <w:sz w:val="21"/>
          <w:szCs w:val="21"/>
        </w:rPr>
        <w:t>未涉及的单位申报重点项目和面上项目各不超过</w:t>
      </w:r>
      <w:r>
        <w:rPr>
          <w:kern w:val="0"/>
          <w:sz w:val="21"/>
          <w:szCs w:val="21"/>
        </w:rPr>
        <w:t>3</w:t>
      </w:r>
      <w:r>
        <w:rPr>
          <w:rFonts w:hint="eastAsia"/>
          <w:kern w:val="0"/>
          <w:sz w:val="21"/>
          <w:szCs w:val="21"/>
        </w:rPr>
        <w:t>项；</w:t>
      </w:r>
    </w:p>
    <w:p w:rsidR="00F2015C" w:rsidRDefault="00F2015C" w:rsidP="00F2015C">
      <w:pPr>
        <w:widowControl/>
        <w:adjustRightInd w:val="0"/>
        <w:snapToGrid w:val="0"/>
        <w:ind w:firstLineChars="252" w:firstLine="529"/>
        <w:rPr>
          <w:kern w:val="0"/>
          <w:sz w:val="21"/>
          <w:szCs w:val="21"/>
        </w:rPr>
      </w:pPr>
      <w:r>
        <w:rPr>
          <w:kern w:val="0"/>
          <w:sz w:val="21"/>
          <w:szCs w:val="21"/>
        </w:rPr>
        <w:t>2.</w:t>
      </w:r>
      <w:r>
        <w:rPr>
          <w:rFonts w:hint="eastAsia"/>
          <w:kern w:val="0"/>
          <w:sz w:val="21"/>
          <w:szCs w:val="21"/>
        </w:rPr>
        <w:t>单位超额申报将不予受理。</w:t>
      </w:r>
    </w:p>
    <w:p w:rsidR="006F7BD4" w:rsidRDefault="006F7BD4" w:rsidP="00F2015C"/>
    <w:sectPr w:rsidR="006F7BD4" w:rsidSect="006F7BD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4F9E" w:rsidRDefault="00DE4F9E" w:rsidP="00F2015C">
      <w:r>
        <w:separator/>
      </w:r>
    </w:p>
  </w:endnote>
  <w:endnote w:type="continuationSeparator" w:id="0">
    <w:p w:rsidR="00DE4F9E" w:rsidRDefault="00DE4F9E" w:rsidP="00F20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4F9E" w:rsidRDefault="00DE4F9E" w:rsidP="00F2015C">
      <w:r>
        <w:separator/>
      </w:r>
    </w:p>
  </w:footnote>
  <w:footnote w:type="continuationSeparator" w:id="0">
    <w:p w:rsidR="00DE4F9E" w:rsidRDefault="00DE4F9E" w:rsidP="00F201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82685"/>
    <w:rsid w:val="00025D9E"/>
    <w:rsid w:val="00040ECC"/>
    <w:rsid w:val="00056E7B"/>
    <w:rsid w:val="00061D8A"/>
    <w:rsid w:val="00072B25"/>
    <w:rsid w:val="000741D9"/>
    <w:rsid w:val="00090469"/>
    <w:rsid w:val="000B13DA"/>
    <w:rsid w:val="000B4A3B"/>
    <w:rsid w:val="000C7853"/>
    <w:rsid w:val="000C7A8F"/>
    <w:rsid w:val="0010680D"/>
    <w:rsid w:val="0011474B"/>
    <w:rsid w:val="00115B69"/>
    <w:rsid w:val="00117959"/>
    <w:rsid w:val="00117E3C"/>
    <w:rsid w:val="00121A10"/>
    <w:rsid w:val="00131F0C"/>
    <w:rsid w:val="00133681"/>
    <w:rsid w:val="00137775"/>
    <w:rsid w:val="0015693E"/>
    <w:rsid w:val="001643F1"/>
    <w:rsid w:val="0017593F"/>
    <w:rsid w:val="001868F4"/>
    <w:rsid w:val="00190262"/>
    <w:rsid w:val="00197867"/>
    <w:rsid w:val="001B201C"/>
    <w:rsid w:val="001B2B6E"/>
    <w:rsid w:val="001B72C5"/>
    <w:rsid w:val="001D181E"/>
    <w:rsid w:val="001D7102"/>
    <w:rsid w:val="001E4F4F"/>
    <w:rsid w:val="001F7F30"/>
    <w:rsid w:val="002045B7"/>
    <w:rsid w:val="00221BD7"/>
    <w:rsid w:val="002606E7"/>
    <w:rsid w:val="00261225"/>
    <w:rsid w:val="00263C8A"/>
    <w:rsid w:val="00274CED"/>
    <w:rsid w:val="002852BE"/>
    <w:rsid w:val="00292367"/>
    <w:rsid w:val="00295C94"/>
    <w:rsid w:val="002A6C3D"/>
    <w:rsid w:val="002A70CE"/>
    <w:rsid w:val="002D7997"/>
    <w:rsid w:val="00313B2E"/>
    <w:rsid w:val="00321D27"/>
    <w:rsid w:val="00323CD5"/>
    <w:rsid w:val="00324349"/>
    <w:rsid w:val="00330ADA"/>
    <w:rsid w:val="003333AE"/>
    <w:rsid w:val="0034241C"/>
    <w:rsid w:val="00353AFA"/>
    <w:rsid w:val="00362819"/>
    <w:rsid w:val="00372978"/>
    <w:rsid w:val="00372B8E"/>
    <w:rsid w:val="003805F4"/>
    <w:rsid w:val="00380F43"/>
    <w:rsid w:val="00390750"/>
    <w:rsid w:val="003908B1"/>
    <w:rsid w:val="003928CB"/>
    <w:rsid w:val="003A17BE"/>
    <w:rsid w:val="003A1E0B"/>
    <w:rsid w:val="003A71CB"/>
    <w:rsid w:val="003B1FED"/>
    <w:rsid w:val="003B32A3"/>
    <w:rsid w:val="003B390C"/>
    <w:rsid w:val="003B7394"/>
    <w:rsid w:val="003C66EF"/>
    <w:rsid w:val="003D6141"/>
    <w:rsid w:val="003E32DF"/>
    <w:rsid w:val="003F2296"/>
    <w:rsid w:val="00403B01"/>
    <w:rsid w:val="004078AC"/>
    <w:rsid w:val="00412DD2"/>
    <w:rsid w:val="0041498A"/>
    <w:rsid w:val="004408BD"/>
    <w:rsid w:val="004466D5"/>
    <w:rsid w:val="00450443"/>
    <w:rsid w:val="004541FD"/>
    <w:rsid w:val="004549D6"/>
    <w:rsid w:val="00457C0B"/>
    <w:rsid w:val="00463727"/>
    <w:rsid w:val="00481EC3"/>
    <w:rsid w:val="00490766"/>
    <w:rsid w:val="004A1188"/>
    <w:rsid w:val="004A3424"/>
    <w:rsid w:val="004C062E"/>
    <w:rsid w:val="004D0467"/>
    <w:rsid w:val="004D0D29"/>
    <w:rsid w:val="004F0C37"/>
    <w:rsid w:val="004F476F"/>
    <w:rsid w:val="004F59AC"/>
    <w:rsid w:val="00517D87"/>
    <w:rsid w:val="00520667"/>
    <w:rsid w:val="00523F7F"/>
    <w:rsid w:val="00527CE5"/>
    <w:rsid w:val="00530B8D"/>
    <w:rsid w:val="00534AFA"/>
    <w:rsid w:val="005360A3"/>
    <w:rsid w:val="0054261B"/>
    <w:rsid w:val="00544DE2"/>
    <w:rsid w:val="00545ECF"/>
    <w:rsid w:val="00560BE7"/>
    <w:rsid w:val="0056109B"/>
    <w:rsid w:val="00561F6B"/>
    <w:rsid w:val="00565BD9"/>
    <w:rsid w:val="00582581"/>
    <w:rsid w:val="0059498A"/>
    <w:rsid w:val="00596BDD"/>
    <w:rsid w:val="005A1428"/>
    <w:rsid w:val="005A487E"/>
    <w:rsid w:val="005B0B76"/>
    <w:rsid w:val="005C117A"/>
    <w:rsid w:val="005C2695"/>
    <w:rsid w:val="005D0EAC"/>
    <w:rsid w:val="005D2C6A"/>
    <w:rsid w:val="005E4CB1"/>
    <w:rsid w:val="005E5C93"/>
    <w:rsid w:val="005F6642"/>
    <w:rsid w:val="005F6951"/>
    <w:rsid w:val="00614381"/>
    <w:rsid w:val="00615629"/>
    <w:rsid w:val="00633A84"/>
    <w:rsid w:val="006513CD"/>
    <w:rsid w:val="00652559"/>
    <w:rsid w:val="006607A9"/>
    <w:rsid w:val="00662453"/>
    <w:rsid w:val="00662A2A"/>
    <w:rsid w:val="00672C8E"/>
    <w:rsid w:val="00673A12"/>
    <w:rsid w:val="006915D0"/>
    <w:rsid w:val="006B40BC"/>
    <w:rsid w:val="006C6D1F"/>
    <w:rsid w:val="006E3BC8"/>
    <w:rsid w:val="006E5316"/>
    <w:rsid w:val="006E5F03"/>
    <w:rsid w:val="006F7BD4"/>
    <w:rsid w:val="00720315"/>
    <w:rsid w:val="00726C9F"/>
    <w:rsid w:val="007460D2"/>
    <w:rsid w:val="0075015E"/>
    <w:rsid w:val="00755B3B"/>
    <w:rsid w:val="00761DE8"/>
    <w:rsid w:val="00764EA5"/>
    <w:rsid w:val="00766B74"/>
    <w:rsid w:val="00774604"/>
    <w:rsid w:val="00776A6E"/>
    <w:rsid w:val="00783A5B"/>
    <w:rsid w:val="007B6404"/>
    <w:rsid w:val="007E29AC"/>
    <w:rsid w:val="007F0798"/>
    <w:rsid w:val="007F166A"/>
    <w:rsid w:val="007F372E"/>
    <w:rsid w:val="00801DE4"/>
    <w:rsid w:val="008045F9"/>
    <w:rsid w:val="008131FE"/>
    <w:rsid w:val="0081433A"/>
    <w:rsid w:val="008344F2"/>
    <w:rsid w:val="00842704"/>
    <w:rsid w:val="00843950"/>
    <w:rsid w:val="008512D9"/>
    <w:rsid w:val="00854297"/>
    <w:rsid w:val="00864544"/>
    <w:rsid w:val="0086613F"/>
    <w:rsid w:val="00872292"/>
    <w:rsid w:val="0087326C"/>
    <w:rsid w:val="008752F6"/>
    <w:rsid w:val="00881FF1"/>
    <w:rsid w:val="00882685"/>
    <w:rsid w:val="008901D6"/>
    <w:rsid w:val="00893A64"/>
    <w:rsid w:val="008947BF"/>
    <w:rsid w:val="008A0DE3"/>
    <w:rsid w:val="008A7D94"/>
    <w:rsid w:val="008C1D26"/>
    <w:rsid w:val="008C26E8"/>
    <w:rsid w:val="008C2ABE"/>
    <w:rsid w:val="008C57C3"/>
    <w:rsid w:val="008E2367"/>
    <w:rsid w:val="008F2827"/>
    <w:rsid w:val="00901711"/>
    <w:rsid w:val="009021F8"/>
    <w:rsid w:val="0091213D"/>
    <w:rsid w:val="009232FD"/>
    <w:rsid w:val="009412CF"/>
    <w:rsid w:val="009466A2"/>
    <w:rsid w:val="00950783"/>
    <w:rsid w:val="00952DA7"/>
    <w:rsid w:val="00955370"/>
    <w:rsid w:val="009627AA"/>
    <w:rsid w:val="0097617B"/>
    <w:rsid w:val="00982972"/>
    <w:rsid w:val="00997909"/>
    <w:rsid w:val="009D2D60"/>
    <w:rsid w:val="009E575D"/>
    <w:rsid w:val="009E6086"/>
    <w:rsid w:val="00A0030A"/>
    <w:rsid w:val="00A15234"/>
    <w:rsid w:val="00A17DB1"/>
    <w:rsid w:val="00A2366F"/>
    <w:rsid w:val="00A30E5D"/>
    <w:rsid w:val="00A52FBC"/>
    <w:rsid w:val="00A67717"/>
    <w:rsid w:val="00A7182A"/>
    <w:rsid w:val="00A82615"/>
    <w:rsid w:val="00A94999"/>
    <w:rsid w:val="00A94A3A"/>
    <w:rsid w:val="00A95A6A"/>
    <w:rsid w:val="00AB2AC6"/>
    <w:rsid w:val="00AB45C5"/>
    <w:rsid w:val="00AC281A"/>
    <w:rsid w:val="00AD5C45"/>
    <w:rsid w:val="00AD71A2"/>
    <w:rsid w:val="00AF3636"/>
    <w:rsid w:val="00AF43D8"/>
    <w:rsid w:val="00B0504A"/>
    <w:rsid w:val="00B0614B"/>
    <w:rsid w:val="00B07D5C"/>
    <w:rsid w:val="00B15518"/>
    <w:rsid w:val="00B20746"/>
    <w:rsid w:val="00B24443"/>
    <w:rsid w:val="00B54F01"/>
    <w:rsid w:val="00B5535C"/>
    <w:rsid w:val="00B55700"/>
    <w:rsid w:val="00B637C9"/>
    <w:rsid w:val="00B7712B"/>
    <w:rsid w:val="00B878AD"/>
    <w:rsid w:val="00BA433D"/>
    <w:rsid w:val="00BA44A3"/>
    <w:rsid w:val="00BB4294"/>
    <w:rsid w:val="00BB52D4"/>
    <w:rsid w:val="00BB7418"/>
    <w:rsid w:val="00BC6C63"/>
    <w:rsid w:val="00BD5C59"/>
    <w:rsid w:val="00BD5C94"/>
    <w:rsid w:val="00BF3FE5"/>
    <w:rsid w:val="00C12519"/>
    <w:rsid w:val="00C141BE"/>
    <w:rsid w:val="00C2007D"/>
    <w:rsid w:val="00C2326F"/>
    <w:rsid w:val="00C233CC"/>
    <w:rsid w:val="00C3454E"/>
    <w:rsid w:val="00C40757"/>
    <w:rsid w:val="00C572DF"/>
    <w:rsid w:val="00C61DDF"/>
    <w:rsid w:val="00C62031"/>
    <w:rsid w:val="00C6317F"/>
    <w:rsid w:val="00C65AF6"/>
    <w:rsid w:val="00C702EC"/>
    <w:rsid w:val="00C802E6"/>
    <w:rsid w:val="00C8161C"/>
    <w:rsid w:val="00C82F60"/>
    <w:rsid w:val="00C83449"/>
    <w:rsid w:val="00C87404"/>
    <w:rsid w:val="00C97019"/>
    <w:rsid w:val="00CA1CE3"/>
    <w:rsid w:val="00CA3C33"/>
    <w:rsid w:val="00CA7412"/>
    <w:rsid w:val="00CB340C"/>
    <w:rsid w:val="00CF22DC"/>
    <w:rsid w:val="00CF77E0"/>
    <w:rsid w:val="00D07251"/>
    <w:rsid w:val="00D07CB4"/>
    <w:rsid w:val="00D541EE"/>
    <w:rsid w:val="00D6534C"/>
    <w:rsid w:val="00D7225A"/>
    <w:rsid w:val="00D83916"/>
    <w:rsid w:val="00D92AF8"/>
    <w:rsid w:val="00DA6EE4"/>
    <w:rsid w:val="00DC1C67"/>
    <w:rsid w:val="00DC24AA"/>
    <w:rsid w:val="00DD1666"/>
    <w:rsid w:val="00DD70E7"/>
    <w:rsid w:val="00DE476F"/>
    <w:rsid w:val="00DE4F9E"/>
    <w:rsid w:val="00DF10A2"/>
    <w:rsid w:val="00E00EA7"/>
    <w:rsid w:val="00E2095D"/>
    <w:rsid w:val="00E23E99"/>
    <w:rsid w:val="00E42CF5"/>
    <w:rsid w:val="00E53C46"/>
    <w:rsid w:val="00E55370"/>
    <w:rsid w:val="00E63F4B"/>
    <w:rsid w:val="00E6738C"/>
    <w:rsid w:val="00E67EE8"/>
    <w:rsid w:val="00E801CD"/>
    <w:rsid w:val="00E93016"/>
    <w:rsid w:val="00E94DB5"/>
    <w:rsid w:val="00EA1DE1"/>
    <w:rsid w:val="00EA1F4D"/>
    <w:rsid w:val="00EA3055"/>
    <w:rsid w:val="00EA3969"/>
    <w:rsid w:val="00EA5D8F"/>
    <w:rsid w:val="00EB01E3"/>
    <w:rsid w:val="00EB230A"/>
    <w:rsid w:val="00EB6C95"/>
    <w:rsid w:val="00EC2D90"/>
    <w:rsid w:val="00EC4766"/>
    <w:rsid w:val="00EC539B"/>
    <w:rsid w:val="00EC577E"/>
    <w:rsid w:val="00ED6A9F"/>
    <w:rsid w:val="00EE636D"/>
    <w:rsid w:val="00EF12CA"/>
    <w:rsid w:val="00EF2137"/>
    <w:rsid w:val="00EF2FA3"/>
    <w:rsid w:val="00F021F2"/>
    <w:rsid w:val="00F10011"/>
    <w:rsid w:val="00F2015C"/>
    <w:rsid w:val="00F205F4"/>
    <w:rsid w:val="00F24E03"/>
    <w:rsid w:val="00F26715"/>
    <w:rsid w:val="00F357F1"/>
    <w:rsid w:val="00F62E91"/>
    <w:rsid w:val="00F62ED6"/>
    <w:rsid w:val="00F65E89"/>
    <w:rsid w:val="00F73062"/>
    <w:rsid w:val="00F7445E"/>
    <w:rsid w:val="00F81149"/>
    <w:rsid w:val="00F94302"/>
    <w:rsid w:val="00FB0E15"/>
    <w:rsid w:val="00FC7591"/>
    <w:rsid w:val="00FE06AD"/>
    <w:rsid w:val="00FF2CEC"/>
    <w:rsid w:val="00FF303D"/>
    <w:rsid w:val="00FF6A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62803F"/>
  <w15:chartTrackingRefBased/>
  <w15:docId w15:val="{BFA1E7F0-63D2-4FC0-AE7C-5BAEA8EA5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2015C"/>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015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2015C"/>
    <w:rPr>
      <w:sz w:val="18"/>
      <w:szCs w:val="18"/>
    </w:rPr>
  </w:style>
  <w:style w:type="paragraph" w:styleId="a5">
    <w:name w:val="footer"/>
    <w:basedOn w:val="a"/>
    <w:link w:val="a6"/>
    <w:uiPriority w:val="99"/>
    <w:unhideWhenUsed/>
    <w:rsid w:val="00F2015C"/>
    <w:pPr>
      <w:tabs>
        <w:tab w:val="center" w:pos="4153"/>
        <w:tab w:val="right" w:pos="8306"/>
      </w:tabs>
      <w:snapToGrid w:val="0"/>
      <w:jc w:val="left"/>
    </w:pPr>
    <w:rPr>
      <w:sz w:val="18"/>
      <w:szCs w:val="18"/>
    </w:rPr>
  </w:style>
  <w:style w:type="character" w:customStyle="1" w:styleId="a6">
    <w:name w:val="页脚 字符"/>
    <w:basedOn w:val="a0"/>
    <w:link w:val="a5"/>
    <w:uiPriority w:val="99"/>
    <w:rsid w:val="00F2015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523</Words>
  <Characters>2983</Characters>
  <Application>Microsoft Office Word</Application>
  <DocSecurity>0</DocSecurity>
  <Lines>24</Lines>
  <Paragraphs>6</Paragraphs>
  <ScaleCrop>false</ScaleCrop>
  <Company/>
  <LinksUpToDate>false</LinksUpToDate>
  <CharactersWithSpaces>3500</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2017-07-28T08:40:00Z</dcterms:created>
  <dc:creator>chao zhang</dc:creator>
  <lastModifiedBy>chao zhang</lastModifiedBy>
  <dcterms:modified xsi:type="dcterms:W3CDTF">2017-07-28T08:41:00Z</dcterms:modified>
  <revision>2</revision>
</coreProperties>
</file>